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方正小标宋简体" w:hAnsi="方正小标宋简体" w:eastAsia="方正小标宋简体" w:cs="方正小标宋简体"/>
          <w:spacing w:val="113"/>
          <w:sz w:val="44"/>
        </w:rPr>
      </w:pPr>
      <w:r>
        <w:rPr>
          <w:rFonts w:hint="eastAsia" w:ascii="方正小标宋简体" w:hAnsi="方正小标宋简体" w:eastAsia="方正小标宋简体" w:cs="方正小标宋简体"/>
          <w:spacing w:val="113"/>
          <w:sz w:val="44"/>
        </w:rPr>
        <w:t>包头市委讲师团</w:t>
      </w:r>
    </w:p>
    <w:p>
      <w:pPr>
        <w:spacing w:line="560" w:lineRule="exact"/>
        <w:jc w:val="center"/>
        <w:rPr>
          <w:rFonts w:ascii="方正小标宋简体" w:hAnsi="方正小标宋简体" w:eastAsia="方正小标宋简体" w:cs="方正小标宋简体"/>
          <w:spacing w:val="113"/>
          <w:sz w:val="44"/>
        </w:rPr>
      </w:pPr>
      <w:r>
        <w:rPr>
          <w:rFonts w:hint="eastAsia" w:ascii="方正小标宋简体" w:hAnsi="方正小标宋简体" w:eastAsia="方正小标宋简体" w:cs="方正小标宋简体"/>
          <w:spacing w:val="113"/>
          <w:sz w:val="44"/>
        </w:rPr>
        <w:t>2021年部门预算</w:t>
      </w:r>
    </w:p>
    <w:p>
      <w:pPr>
        <w:spacing w:line="560" w:lineRule="exact"/>
        <w:jc w:val="center"/>
        <w:rPr>
          <w:rFonts w:ascii="方正小标宋简体" w:hAnsi="方正小标宋简体" w:eastAsia="方正小标宋简体" w:cs="方正小标宋简体"/>
          <w:spacing w:val="113"/>
          <w:sz w:val="44"/>
        </w:rPr>
      </w:pPr>
      <w:r>
        <w:rPr>
          <w:rFonts w:hint="eastAsia" w:ascii="方正小标宋简体" w:hAnsi="方正小标宋简体" w:eastAsia="方正小标宋简体" w:cs="方正小标宋简体"/>
          <w:spacing w:val="113"/>
          <w:sz w:val="44"/>
        </w:rPr>
        <w:t>公开报告</w:t>
      </w: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rPr>
          <w:rFonts w:ascii="宋体" w:hAnsi="宋体"/>
          <w:b/>
          <w:bCs/>
          <w:sz w:val="44"/>
        </w:rPr>
      </w:pPr>
    </w:p>
    <w:p>
      <w:pPr>
        <w:spacing w:line="560" w:lineRule="exact"/>
        <w:rPr>
          <w:rFonts w:ascii="宋体" w:hAnsi="宋体"/>
          <w:b/>
          <w:bCs/>
          <w:sz w:val="44"/>
        </w:rPr>
      </w:pPr>
    </w:p>
    <w:p>
      <w:pPr>
        <w:spacing w:line="560" w:lineRule="exact"/>
        <w:jc w:val="center"/>
        <w:rPr>
          <w:rFonts w:ascii="仿宋_GB2312" w:hAnsi="宋体" w:eastAsia="仿宋_GB2312"/>
          <w:bCs/>
          <w:sz w:val="32"/>
          <w:szCs w:val="32"/>
        </w:rPr>
      </w:pPr>
      <w:r>
        <w:rPr>
          <w:rFonts w:hint="eastAsia" w:ascii="仿宋_GB2312" w:hAnsi="宋体" w:eastAsia="仿宋_GB2312"/>
          <w:bCs/>
          <w:sz w:val="32"/>
          <w:szCs w:val="32"/>
        </w:rPr>
        <w:t xml:space="preserve">包头市委讲师团 </w:t>
      </w:r>
    </w:p>
    <w:p>
      <w:pPr>
        <w:spacing w:line="560" w:lineRule="exact"/>
        <w:jc w:val="center"/>
        <w:rPr>
          <w:rFonts w:ascii="宋体" w:hAnsi="宋体"/>
          <w:sz w:val="32"/>
          <w:szCs w:val="32"/>
        </w:rPr>
      </w:pPr>
      <w:r>
        <w:rPr>
          <w:rFonts w:hint="eastAsia" w:ascii="仿宋" w:hAnsi="仿宋" w:eastAsia="仿宋" w:cs="仿宋"/>
          <w:sz w:val="32"/>
          <w:szCs w:val="32"/>
        </w:rPr>
        <w:t>2021年3月12日</w:t>
      </w:r>
    </w:p>
    <w:p>
      <w:pPr>
        <w:spacing w:line="560" w:lineRule="exact"/>
        <w:rPr>
          <w:rFonts w:ascii="宋体" w:hAnsi="宋体"/>
          <w:b/>
          <w:bCs/>
          <w:sz w:val="44"/>
        </w:rPr>
      </w:pPr>
    </w:p>
    <w:p>
      <w:pPr>
        <w:jc w:val="center"/>
        <w:rPr>
          <w:rFonts w:ascii="宋体" w:hAnsi="宋体"/>
          <w:b/>
          <w:bCs/>
          <w:sz w:val="44"/>
        </w:rPr>
      </w:pPr>
    </w:p>
    <w:p>
      <w:pPr>
        <w:jc w:val="center"/>
        <w:rPr>
          <w:rFonts w:ascii="方正小标宋简体" w:hAnsi="宋体" w:eastAsia="方正小标宋简体"/>
          <w:bCs/>
          <w:sz w:val="44"/>
          <w:szCs w:val="44"/>
        </w:rPr>
      </w:pPr>
    </w:p>
    <w:p>
      <w:pPr>
        <w:jc w:val="center"/>
        <w:rPr>
          <w:rFonts w:ascii="方正小标宋简体" w:hAnsi="宋体" w:eastAsia="方正小标宋简体"/>
          <w:bCs/>
          <w:sz w:val="44"/>
          <w:szCs w:val="44"/>
        </w:rPr>
      </w:pPr>
      <w:r>
        <w:rPr>
          <w:rFonts w:hint="eastAsia" w:ascii="方正小标宋简体" w:hAnsi="宋体" w:eastAsia="方正小标宋简体"/>
          <w:bCs/>
          <w:sz w:val="44"/>
          <w:szCs w:val="44"/>
        </w:rPr>
        <w:t>目    录</w:t>
      </w:r>
    </w:p>
    <w:p>
      <w:pPr>
        <w:spacing w:line="520" w:lineRule="exact"/>
        <w:rPr>
          <w:rFonts w:ascii="仿宋_GB2312" w:hAnsi="宋体" w:eastAsia="仿宋_GB2312"/>
          <w:b/>
          <w:bCs/>
          <w:sz w:val="36"/>
          <w:szCs w:val="36"/>
        </w:rPr>
      </w:pPr>
      <w:r>
        <w:rPr>
          <w:rFonts w:hint="eastAsia" w:ascii="仿宋_GB2312" w:hAnsi="宋体" w:eastAsia="仿宋_GB2312"/>
          <w:b/>
          <w:bCs/>
          <w:sz w:val="36"/>
          <w:szCs w:val="36"/>
        </w:rPr>
        <w:t>第一部分 包头市委讲师团概况</w:t>
      </w:r>
    </w:p>
    <w:p>
      <w:pPr>
        <w:spacing w:line="52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一、主要职能</w:t>
      </w:r>
    </w:p>
    <w:p>
      <w:pPr>
        <w:spacing w:line="52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二、2021年部门工作要点</w:t>
      </w:r>
    </w:p>
    <w:p>
      <w:pPr>
        <w:spacing w:line="520" w:lineRule="exact"/>
        <w:ind w:firstLine="640" w:firstLineChars="200"/>
        <w:rPr>
          <w:rFonts w:ascii="仿宋" w:hAnsi="仿宋" w:eastAsia="仿宋" w:cs="仿宋"/>
          <w:color w:val="000000"/>
          <w:sz w:val="32"/>
          <w:szCs w:val="32"/>
        </w:rPr>
      </w:pPr>
      <w:r>
        <w:rPr>
          <w:rFonts w:hint="eastAsia" w:ascii="仿宋_GB2312" w:hAnsi="宋体" w:eastAsia="仿宋_GB2312"/>
          <w:bCs/>
          <w:sz w:val="32"/>
          <w:szCs w:val="32"/>
        </w:rPr>
        <w:t>三、机构设置及部门预算单位构成</w:t>
      </w:r>
    </w:p>
    <w:p>
      <w:pPr>
        <w:spacing w:line="520" w:lineRule="exact"/>
        <w:rPr>
          <w:rFonts w:ascii="仿宋" w:hAnsi="仿宋" w:eastAsia="仿宋" w:cs="仿宋"/>
          <w:sz w:val="32"/>
          <w:szCs w:val="32"/>
        </w:rPr>
      </w:pPr>
      <w:r>
        <w:rPr>
          <w:rFonts w:hint="eastAsia" w:ascii="仿宋_GB2312" w:hAnsi="宋体" w:eastAsia="仿宋_GB2312"/>
          <w:b/>
          <w:bCs/>
          <w:sz w:val="36"/>
          <w:szCs w:val="36"/>
        </w:rPr>
        <w:t>第二部分 2021年部门预算安排情况说明</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一、2021年公共预算收支情况的总体说明</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二、2021年一般公共预算拨款收支情况说明</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三、政府性基金预算拨款支出预算的情况说明</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四、国有资本经营预算拨款支出预算的情况说明</w:t>
      </w:r>
    </w:p>
    <w:p>
      <w:pPr>
        <w:numPr>
          <w:ilvl w:val="0"/>
          <w:numId w:val="1"/>
        </w:numPr>
        <w:spacing w:line="520" w:lineRule="exact"/>
        <w:rPr>
          <w:rFonts w:ascii="仿宋" w:hAnsi="仿宋" w:eastAsia="仿宋" w:cs="仿宋"/>
          <w:sz w:val="32"/>
          <w:szCs w:val="32"/>
        </w:rPr>
      </w:pPr>
      <w:r>
        <w:rPr>
          <w:rFonts w:hint="eastAsia" w:ascii="仿宋" w:hAnsi="仿宋" w:eastAsia="仿宋" w:cs="仿宋"/>
          <w:sz w:val="32"/>
          <w:szCs w:val="32"/>
        </w:rPr>
        <w:t>“三公经费”财政拨款支出预算的情况说明</w:t>
      </w:r>
    </w:p>
    <w:p>
      <w:pPr>
        <w:spacing w:line="520" w:lineRule="exact"/>
        <w:rPr>
          <w:rFonts w:ascii="仿宋_GB2312" w:hAnsi="宋体" w:eastAsia="仿宋_GB2312"/>
          <w:b/>
          <w:bCs/>
          <w:sz w:val="36"/>
          <w:szCs w:val="36"/>
        </w:rPr>
      </w:pPr>
      <w:r>
        <w:rPr>
          <w:rFonts w:hint="eastAsia" w:ascii="仿宋_GB2312" w:hAnsi="宋体" w:eastAsia="仿宋_GB2312"/>
          <w:b/>
          <w:bCs/>
          <w:sz w:val="36"/>
          <w:szCs w:val="36"/>
        </w:rPr>
        <w:t>第三部分 其他公开事项说明</w:t>
      </w:r>
    </w:p>
    <w:p>
      <w:pPr>
        <w:spacing w:line="520" w:lineRule="exact"/>
        <w:ind w:left="180" w:firstLine="640" w:firstLineChars="200"/>
        <w:rPr>
          <w:rFonts w:ascii="仿宋" w:hAnsi="仿宋" w:eastAsia="仿宋" w:cs="仿宋"/>
          <w:sz w:val="32"/>
          <w:szCs w:val="32"/>
        </w:rPr>
      </w:pPr>
      <w:r>
        <w:rPr>
          <w:rFonts w:hint="eastAsia" w:ascii="仿宋" w:hAnsi="仿宋" w:eastAsia="仿宋" w:cs="仿宋"/>
          <w:sz w:val="32"/>
          <w:szCs w:val="32"/>
        </w:rPr>
        <w:t>一、机关运行经费安排情况说明</w:t>
      </w:r>
    </w:p>
    <w:p>
      <w:pPr>
        <w:spacing w:line="520" w:lineRule="exact"/>
        <w:ind w:left="180" w:firstLine="640" w:firstLineChars="200"/>
        <w:rPr>
          <w:rFonts w:ascii="仿宋" w:hAnsi="仿宋" w:eastAsia="仿宋" w:cs="仿宋"/>
          <w:sz w:val="32"/>
          <w:szCs w:val="32"/>
        </w:rPr>
      </w:pPr>
      <w:r>
        <w:rPr>
          <w:rFonts w:hint="eastAsia" w:ascii="仿宋" w:hAnsi="仿宋" w:eastAsia="仿宋" w:cs="仿宋"/>
          <w:sz w:val="32"/>
          <w:szCs w:val="32"/>
        </w:rPr>
        <w:t>二、“政府采购计划”预算情况说明</w:t>
      </w:r>
    </w:p>
    <w:p>
      <w:pPr>
        <w:spacing w:line="520" w:lineRule="exact"/>
        <w:ind w:left="180" w:firstLine="640" w:firstLineChars="200"/>
        <w:rPr>
          <w:rFonts w:ascii="仿宋" w:hAnsi="仿宋" w:eastAsia="仿宋" w:cs="仿宋"/>
          <w:sz w:val="32"/>
          <w:szCs w:val="32"/>
        </w:rPr>
      </w:pPr>
      <w:r>
        <w:rPr>
          <w:rFonts w:hint="eastAsia" w:ascii="仿宋" w:hAnsi="仿宋" w:eastAsia="仿宋" w:cs="仿宋"/>
          <w:sz w:val="32"/>
          <w:szCs w:val="32"/>
        </w:rPr>
        <w:t>三、国有资产占有使用和增量情况说明</w:t>
      </w:r>
    </w:p>
    <w:p>
      <w:pPr>
        <w:spacing w:line="520" w:lineRule="exact"/>
        <w:ind w:left="180" w:firstLine="640" w:firstLineChars="200"/>
        <w:rPr>
          <w:rFonts w:ascii="仿宋" w:hAnsi="仿宋" w:eastAsia="仿宋" w:cs="仿宋"/>
          <w:sz w:val="32"/>
          <w:szCs w:val="32"/>
        </w:rPr>
      </w:pPr>
      <w:r>
        <w:rPr>
          <w:rFonts w:hint="eastAsia" w:ascii="仿宋" w:hAnsi="仿宋" w:eastAsia="仿宋" w:cs="仿宋"/>
          <w:sz w:val="32"/>
          <w:szCs w:val="32"/>
        </w:rPr>
        <w:t>四、部门组织征收收入计划</w:t>
      </w:r>
    </w:p>
    <w:p>
      <w:pPr>
        <w:spacing w:line="520" w:lineRule="exact"/>
        <w:ind w:left="180" w:firstLine="640" w:firstLineChars="200"/>
        <w:rPr>
          <w:rFonts w:ascii="仿宋" w:hAnsi="仿宋" w:eastAsia="仿宋" w:cs="仿宋"/>
          <w:sz w:val="32"/>
          <w:szCs w:val="32"/>
        </w:rPr>
      </w:pPr>
      <w:r>
        <w:rPr>
          <w:rFonts w:hint="eastAsia" w:ascii="仿宋" w:hAnsi="仿宋" w:eastAsia="仿宋" w:cs="仿宋"/>
          <w:sz w:val="32"/>
          <w:szCs w:val="32"/>
        </w:rPr>
        <w:t>五、绩效目标设置情况说明</w:t>
      </w:r>
    </w:p>
    <w:p>
      <w:pPr>
        <w:spacing w:line="520" w:lineRule="exact"/>
        <w:rPr>
          <w:rFonts w:ascii="宋体" w:hAnsi="宋体"/>
          <w:b/>
          <w:bCs/>
          <w:sz w:val="44"/>
        </w:rPr>
      </w:pPr>
      <w:r>
        <w:rPr>
          <w:rFonts w:hint="eastAsia" w:ascii="仿宋_GB2312" w:hAnsi="宋体" w:eastAsia="仿宋_GB2312"/>
          <w:b/>
          <w:bCs/>
          <w:sz w:val="36"/>
          <w:szCs w:val="36"/>
        </w:rPr>
        <w:t>第四部分  名词解释</w:t>
      </w:r>
    </w:p>
    <w:p>
      <w:pPr>
        <w:spacing w:line="520" w:lineRule="exact"/>
        <w:rPr>
          <w:rFonts w:ascii="仿宋_GB2312" w:hAnsi="宋体" w:eastAsia="仿宋_GB2312"/>
          <w:b/>
          <w:bCs/>
          <w:sz w:val="36"/>
          <w:szCs w:val="36"/>
        </w:rPr>
      </w:pPr>
      <w:r>
        <w:rPr>
          <w:rFonts w:hint="eastAsia" w:ascii="仿宋_GB2312" w:hAnsi="宋体" w:eastAsia="仿宋_GB2312"/>
          <w:b/>
          <w:bCs/>
          <w:sz w:val="36"/>
          <w:szCs w:val="36"/>
        </w:rPr>
        <w:t>第五部分  2021年部门预算公开表</w:t>
      </w:r>
    </w:p>
    <w:p>
      <w:pPr>
        <w:spacing w:line="520" w:lineRule="exact"/>
        <w:ind w:firstLine="640" w:firstLineChars="200"/>
        <w:rPr>
          <w:rFonts w:ascii="仿宋_GB2312" w:hAnsi="宋体" w:eastAsia="仿宋_GB2312"/>
          <w:bCs/>
          <w:sz w:val="32"/>
          <w:szCs w:val="32"/>
        </w:rPr>
      </w:pPr>
    </w:p>
    <w:p>
      <w:pPr>
        <w:spacing w:line="560" w:lineRule="exact"/>
        <w:ind w:firstLine="640" w:firstLineChars="200"/>
        <w:rPr>
          <w:rFonts w:ascii="仿宋" w:hAnsi="仿宋" w:eastAsia="仿宋" w:cs="仿宋"/>
          <w:color w:val="000000"/>
          <w:sz w:val="32"/>
          <w:szCs w:val="32"/>
        </w:rPr>
      </w:pPr>
    </w:p>
    <w:p>
      <w:pPr>
        <w:spacing w:line="560" w:lineRule="exact"/>
        <w:rPr>
          <w:rFonts w:ascii="宋体" w:hAnsi="宋体"/>
          <w:b/>
          <w:bCs/>
          <w:sz w:val="44"/>
        </w:rPr>
      </w:pPr>
    </w:p>
    <w:p>
      <w:pPr>
        <w:spacing w:line="560" w:lineRule="exact"/>
        <w:jc w:val="center"/>
        <w:rPr>
          <w:rFonts w:ascii="宋体" w:hAnsi="宋体"/>
          <w:b/>
          <w:bCs/>
          <w:sz w:val="44"/>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 xml:space="preserve">第一部分  </w:t>
      </w: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包头市委讲师团概况</w:t>
      </w: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黑体" w:hAnsi="黑体" w:eastAsia="黑体" w:cs="黑体"/>
          <w:bCs/>
          <w:sz w:val="32"/>
          <w:szCs w:val="32"/>
        </w:rPr>
      </w:pPr>
    </w:p>
    <w:p>
      <w:pPr>
        <w:tabs>
          <w:tab w:val="left" w:pos="3532"/>
        </w:tabs>
        <w:autoSpaceDE w:val="0"/>
        <w:autoSpaceDN w:val="0"/>
        <w:adjustRightInd w:val="0"/>
        <w:spacing w:line="560" w:lineRule="exact"/>
        <w:rPr>
          <w:rFonts w:ascii="黑体" w:hAnsi="黑体" w:eastAsia="黑体" w:cs="黑体"/>
          <w:bCs/>
          <w:sz w:val="32"/>
          <w:szCs w:val="32"/>
        </w:rPr>
      </w:pP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一、主要职能</w:t>
      </w:r>
    </w:p>
    <w:p>
      <w:pPr>
        <w:pStyle w:val="9"/>
        <w:spacing w:line="580" w:lineRule="exact"/>
        <w:ind w:right="0" w:firstLine="640" w:firstLineChars="200"/>
        <w:jc w:val="both"/>
        <w:rPr>
          <w:rFonts w:ascii="楷体_GB2312" w:eastAsia="楷体_GB2312"/>
          <w:b/>
          <w:sz w:val="32"/>
          <w:szCs w:val="32"/>
        </w:rPr>
      </w:pPr>
      <w:r>
        <w:rPr>
          <w:rFonts w:hint="eastAsia" w:ascii="仿宋_GB2312" w:eastAsia="仿宋_GB2312"/>
          <w:sz w:val="32"/>
          <w:szCs w:val="32"/>
        </w:rPr>
        <w:t>中共包头市委讲师团（以下简称为包头市委讲师团）为中共包头市委宣传部所属公益一类事业单位，机构规格相当于副处级。是包头市</w:t>
      </w:r>
      <w:r>
        <w:rPr>
          <w:rFonts w:hint="eastAsia" w:ascii="仿宋_GB2312" w:hAnsi="仿宋_GB2312" w:eastAsia="仿宋_GB2312" w:cs="仿宋_GB2312"/>
          <w:sz w:val="32"/>
          <w:szCs w:val="32"/>
        </w:rPr>
        <w:t>面向党员干部群众组织实施马克思主义理论和形势政策教育的专门组织机构</w:t>
      </w:r>
      <w:r>
        <w:rPr>
          <w:rFonts w:hint="eastAsia" w:ascii="仿宋_GB2312" w:eastAsia="仿宋_GB2312"/>
          <w:sz w:val="32"/>
          <w:szCs w:val="32"/>
        </w:rPr>
        <w:t>。主要职责是：</w:t>
      </w:r>
    </w:p>
    <w:p>
      <w:pPr>
        <w:pStyle w:val="9"/>
        <w:numPr>
          <w:ilvl w:val="0"/>
          <w:numId w:val="2"/>
        </w:numPr>
        <w:spacing w:line="580" w:lineRule="exact"/>
        <w:ind w:righ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组织实施中央、自治区和包头市重大主题宣讲。</w:t>
      </w:r>
    </w:p>
    <w:p>
      <w:pPr>
        <w:pStyle w:val="9"/>
        <w:numPr>
          <w:ilvl w:val="0"/>
          <w:numId w:val="2"/>
        </w:numPr>
        <w:spacing w:line="580" w:lineRule="exact"/>
        <w:ind w:righ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组织开展新媒体宣讲工作。 </w:t>
      </w:r>
    </w:p>
    <w:p>
      <w:pPr>
        <w:pStyle w:val="9"/>
        <w:numPr>
          <w:ilvl w:val="0"/>
          <w:numId w:val="2"/>
        </w:numPr>
        <w:spacing w:line="580" w:lineRule="exact"/>
        <w:ind w:righ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开展基层理论宣讲骨干培训。</w:t>
      </w:r>
    </w:p>
    <w:p>
      <w:pPr>
        <w:pStyle w:val="9"/>
        <w:numPr>
          <w:ilvl w:val="0"/>
          <w:numId w:val="2"/>
        </w:numPr>
        <w:spacing w:line="580" w:lineRule="exact"/>
        <w:ind w:right="0" w:firstLine="640" w:firstLineChars="200"/>
        <w:jc w:val="both"/>
        <w:rPr>
          <w:rFonts w:ascii="仿宋_GB2312" w:hAnsi="仿宋_GB2312" w:eastAsia="仿宋_GB2312" w:cs="仿宋_GB2312"/>
          <w:sz w:val="32"/>
          <w:szCs w:val="32"/>
        </w:rPr>
      </w:pPr>
      <w:r>
        <w:rPr>
          <w:rFonts w:hint="eastAsia" w:ascii="仿宋_GB2312" w:eastAsia="仿宋_GB2312"/>
          <w:sz w:val="32"/>
          <w:szCs w:val="32"/>
        </w:rPr>
        <w:t>组织编写通俗理论读物</w:t>
      </w:r>
      <w:r>
        <w:rPr>
          <w:rFonts w:hint="eastAsia" w:ascii="仿宋_GB2312" w:hAnsi="仿宋_GB2312" w:eastAsia="仿宋_GB2312" w:cs="仿宋_GB2312"/>
          <w:sz w:val="32"/>
          <w:szCs w:val="32"/>
        </w:rPr>
        <w:t>。 </w:t>
      </w:r>
    </w:p>
    <w:p>
      <w:pPr>
        <w:pStyle w:val="9"/>
        <w:spacing w:line="580" w:lineRule="exact"/>
        <w:ind w:right="0" w:firstLine="640" w:firstLineChars="200"/>
        <w:jc w:val="both"/>
        <w:rPr>
          <w:rFonts w:ascii="仿宋_GB2312" w:eastAsia="仿宋_GB2312"/>
          <w:sz w:val="32"/>
          <w:szCs w:val="32"/>
        </w:rPr>
      </w:pPr>
      <w:r>
        <w:rPr>
          <w:rFonts w:hint="eastAsia" w:ascii="仿宋_GB2312" w:eastAsia="仿宋_GB2312"/>
          <w:sz w:val="32"/>
          <w:szCs w:val="32"/>
        </w:rPr>
        <w:t>（五）承担“学习强国”包头平台建设相关工作</w:t>
      </w:r>
      <w:r>
        <w:rPr>
          <w:rFonts w:hint="eastAsia" w:ascii="仿宋_GB2312" w:hAnsi="仿宋_GB2312" w:eastAsia="仿宋_GB2312" w:cs="仿宋_GB2312"/>
          <w:sz w:val="32"/>
          <w:szCs w:val="32"/>
        </w:rPr>
        <w:t>。 </w:t>
      </w:r>
    </w:p>
    <w:p>
      <w:pPr>
        <w:pStyle w:val="9"/>
        <w:spacing w:line="580" w:lineRule="exact"/>
        <w:ind w:right="0" w:firstLine="640" w:firstLineChars="200"/>
        <w:jc w:val="both"/>
        <w:rPr>
          <w:rFonts w:ascii="仿宋_GB2312" w:eastAsia="仿宋_GB2312"/>
          <w:sz w:val="32"/>
          <w:szCs w:val="32"/>
        </w:rPr>
      </w:pPr>
      <w:r>
        <w:rPr>
          <w:rFonts w:hint="eastAsia" w:ascii="仿宋_GB2312" w:eastAsia="仿宋_GB2312"/>
          <w:sz w:val="32"/>
          <w:szCs w:val="32"/>
        </w:rPr>
        <w:t>（六）协助开展市委理论学习中心组学习工作</w:t>
      </w:r>
      <w:r>
        <w:rPr>
          <w:rFonts w:hint="eastAsia" w:ascii="仿宋_GB2312" w:hAnsi="仿宋_GB2312" w:eastAsia="仿宋_GB2312" w:cs="仿宋_GB2312"/>
          <w:sz w:val="32"/>
          <w:szCs w:val="32"/>
        </w:rPr>
        <w:t>。 </w:t>
      </w:r>
    </w:p>
    <w:p>
      <w:pPr>
        <w:pStyle w:val="9"/>
        <w:spacing w:line="580" w:lineRule="exact"/>
        <w:ind w:right="0" w:firstLine="640" w:firstLineChars="200"/>
        <w:jc w:val="both"/>
        <w:rPr>
          <w:rFonts w:ascii="仿宋_GB2312" w:hAnsi="仿宋_GB2312" w:eastAsia="仿宋_GB2312" w:cs="仿宋_GB2312"/>
          <w:sz w:val="32"/>
          <w:szCs w:val="32"/>
        </w:rPr>
      </w:pPr>
      <w:r>
        <w:rPr>
          <w:rFonts w:hint="eastAsia" w:ascii="仿宋_GB2312" w:eastAsia="仿宋_GB2312"/>
          <w:sz w:val="32"/>
          <w:szCs w:val="32"/>
        </w:rPr>
        <w:t>（七）会同有关部门推进党员干部在职理论学习教育</w:t>
      </w:r>
      <w:r>
        <w:rPr>
          <w:rFonts w:hint="eastAsia" w:ascii="仿宋_GB2312" w:hAnsi="仿宋_GB2312" w:eastAsia="仿宋_GB2312" w:cs="仿宋_GB2312"/>
          <w:sz w:val="32"/>
          <w:szCs w:val="32"/>
        </w:rPr>
        <w:t>。 </w:t>
      </w:r>
    </w:p>
    <w:p>
      <w:pPr>
        <w:pStyle w:val="9"/>
        <w:spacing w:line="580" w:lineRule="exact"/>
        <w:ind w:righ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（八）组织开展旗县区党委讲师团业务工作交流、培训。</w:t>
      </w:r>
    </w:p>
    <w:p>
      <w:pPr>
        <w:pStyle w:val="9"/>
        <w:spacing w:line="580" w:lineRule="exact"/>
        <w:ind w:righ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（九）承担市委及市委宣传部交办的其他相关工作。</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w:t>
      </w:r>
      <w:r>
        <w:rPr>
          <w:rFonts w:hint="eastAsia" w:ascii="黑体" w:hAnsi="黑体" w:eastAsia="黑体"/>
          <w:bCs/>
          <w:sz w:val="32"/>
          <w:szCs w:val="32"/>
        </w:rPr>
        <w:t>2021年部门工作要点</w:t>
      </w:r>
    </w:p>
    <w:p>
      <w:pPr>
        <w:spacing w:line="560" w:lineRule="exact"/>
        <w:ind w:firstLine="640" w:firstLineChars="200"/>
        <w:rPr>
          <w:rFonts w:eastAsia="仿宋_GB2312" w:cs="仿宋_GB2312"/>
          <w:color w:val="000000"/>
          <w:sz w:val="32"/>
          <w:szCs w:val="32"/>
        </w:rPr>
      </w:pPr>
      <w:r>
        <w:rPr>
          <w:rFonts w:hint="eastAsia" w:ascii="仿宋_GB2312" w:hAnsi="宋体" w:eastAsia="仿宋_GB2312" w:cs="宋体"/>
          <w:kern w:val="0"/>
          <w:sz w:val="32"/>
          <w:szCs w:val="32"/>
        </w:rPr>
        <w:t>2021年，</w:t>
      </w:r>
      <w:r>
        <w:rPr>
          <w:rFonts w:hint="eastAsia" w:eastAsia="仿宋_GB2312" w:cs="仿宋_GB2312"/>
          <w:color w:val="000000"/>
          <w:sz w:val="32"/>
          <w:szCs w:val="32"/>
        </w:rPr>
        <w:t>按照中央、自治区党委和包头市委关于理论学习宣传宣讲工作的部署要求，紧紧围绕学习宣传贯彻习近平新时代中国特色社会主义思想，围绕庆祝中国共产党成立100周年，围绕铸牢中华民族共同体意识，围绕我市开启新征程、开创新局面、再创新辉煌，积极宣讲党的理论路线方针政策，开展形势政策教育，着力做好用党的创新理论武装全党、教育人民的工作。</w:t>
      </w:r>
    </w:p>
    <w:p>
      <w:pPr>
        <w:spacing w:line="560" w:lineRule="exact"/>
        <w:ind w:firstLine="640" w:firstLineChars="200"/>
        <w:rPr>
          <w:rFonts w:eastAsia="仿宋_GB2312" w:cs="仿宋_GB2312"/>
          <w:color w:val="000000"/>
          <w:sz w:val="32"/>
          <w:szCs w:val="32"/>
        </w:rPr>
      </w:pPr>
    </w:p>
    <w:p>
      <w:pPr>
        <w:ind w:firstLine="640"/>
        <w:rPr>
          <w:rFonts w:ascii="仿宋" w:hAnsi="仿宋" w:eastAsia="仿宋"/>
          <w:sz w:val="32"/>
          <w:szCs w:val="32"/>
        </w:rPr>
      </w:pPr>
      <w:r>
        <w:rPr>
          <w:rFonts w:hint="eastAsia" w:ascii="仿宋" w:hAnsi="仿宋" w:eastAsia="仿宋"/>
          <w:b/>
          <w:bCs/>
          <w:sz w:val="32"/>
          <w:szCs w:val="32"/>
        </w:rPr>
        <w:t>（一）重大主题宣讲工作。</w:t>
      </w:r>
      <w:r>
        <w:rPr>
          <w:rFonts w:hint="eastAsia" w:ascii="仿宋" w:hAnsi="仿宋" w:eastAsia="仿宋"/>
          <w:sz w:val="32"/>
          <w:szCs w:val="32"/>
        </w:rPr>
        <w:t>根据中央、自治区党委和市委部署要求，组织开展党的十九届五中全会、党史学习教育、铸牢中华民族共同体意识、党的十九届六中全会等重大主题集中宣讲活动，完善宣讲人才库，组建宣讲团，制定宣讲计划，编写宣讲提纲，组织集体备课，培训宣讲骨干，确保宣讲任务落实。加强市委宣讲团、百姓宣讲团、青年宣讲团和草原学习轻骑兵宣讲小分队（理论政策志愿宣讲队）“三团一队”建设，评选表彰优秀宣讲员（团队）、优秀讲稿、优秀视频（动漫）宣讲作品。</w:t>
      </w:r>
    </w:p>
    <w:p>
      <w:pPr>
        <w:ind w:firstLine="643" w:firstLineChars="200"/>
        <w:rPr>
          <w:rFonts w:ascii="仿宋" w:hAnsi="仿宋" w:eastAsia="仿宋"/>
          <w:sz w:val="32"/>
          <w:szCs w:val="32"/>
        </w:rPr>
      </w:pPr>
      <w:r>
        <w:rPr>
          <w:rFonts w:hint="eastAsia" w:ascii="仿宋" w:hAnsi="仿宋" w:eastAsia="仿宋"/>
          <w:b/>
          <w:bCs/>
          <w:sz w:val="32"/>
          <w:szCs w:val="32"/>
        </w:rPr>
        <w:t>（二）全媒体宣讲工作。</w:t>
      </w:r>
      <w:r>
        <w:rPr>
          <w:rFonts w:hint="eastAsia" w:ascii="仿宋" w:hAnsi="仿宋" w:eastAsia="仿宋"/>
          <w:sz w:val="32"/>
          <w:szCs w:val="32"/>
        </w:rPr>
        <w:t>坚持面向基层、面向群众，认真落实新媒体理论普及工作，组织、策划、指导包头微学习、包头讲吧、包头理论圈、黄河云APP等开展理论学习、宣传、宣讲、测试工作。积极构建报、刊、台、网、微、端、屏理论传播矩阵，策划制作推出一批微视频、微动漫、H5、小程序等宣讲作品，利用微信、微博、头条号、视频号、抖音号、快手等平台扩大传播。组织举办微课、微视频宣讲大赛，积极培养和发现网红宣讲员。</w:t>
      </w:r>
    </w:p>
    <w:p>
      <w:pPr>
        <w:ind w:firstLine="643" w:firstLineChars="200"/>
        <w:rPr>
          <w:rFonts w:ascii="仿宋" w:hAnsi="仿宋" w:eastAsia="仿宋"/>
          <w:sz w:val="32"/>
          <w:szCs w:val="32"/>
        </w:rPr>
      </w:pPr>
      <w:r>
        <w:rPr>
          <w:rFonts w:hint="eastAsia" w:ascii="仿宋" w:hAnsi="仿宋" w:eastAsia="仿宋"/>
          <w:b/>
          <w:bCs/>
          <w:sz w:val="32"/>
          <w:szCs w:val="32"/>
        </w:rPr>
        <w:t>（三）学习讲堂建设工作。</w:t>
      </w:r>
      <w:r>
        <w:rPr>
          <w:rFonts w:hint="eastAsia" w:ascii="仿宋" w:hAnsi="仿宋" w:eastAsia="仿宋"/>
          <w:sz w:val="32"/>
          <w:szCs w:val="32"/>
        </w:rPr>
        <w:t>加强线下理论普及工作，依托学习讲堂常态化组织开展基层理论宣讲。提升我市“三维一体”学习讲堂体系运行质量，组织实施标准化讲堂建设工作，每年深入基层调研讲堂运行情况，每年评选表彰一批示范性学习讲堂。办好“共享式学习讲堂”， 积极推进开放式讲堂建设。</w:t>
      </w:r>
    </w:p>
    <w:p>
      <w:pPr>
        <w:ind w:firstLine="630" w:firstLineChars="196"/>
        <w:rPr>
          <w:rFonts w:ascii="仿宋" w:hAnsi="仿宋" w:eastAsia="仿宋"/>
          <w:sz w:val="32"/>
          <w:szCs w:val="32"/>
        </w:rPr>
      </w:pPr>
      <w:r>
        <w:rPr>
          <w:rFonts w:hint="eastAsia" w:ascii="仿宋" w:hAnsi="仿宋" w:eastAsia="仿宋"/>
          <w:b/>
          <w:bCs/>
          <w:sz w:val="32"/>
          <w:szCs w:val="32"/>
        </w:rPr>
        <w:t>（四）“学习强国”学习平台工作。</w:t>
      </w:r>
      <w:r>
        <w:rPr>
          <w:rFonts w:hint="eastAsia" w:ascii="仿宋" w:hAnsi="仿宋" w:eastAsia="仿宋"/>
          <w:sz w:val="32"/>
          <w:szCs w:val="32"/>
        </w:rPr>
        <w:t>按照中宣部和自治区党委宣传部要求，对应学习强国平台PC端和手机APP的栏目，每日筛选、审核、编辑、上报稿件（文稿、音视频、图片等）。与委托机构一起策划制作图片故事、微动漫、微视频、H5等原创作品，宣传展示好包头形象。及时完善学习组织架构，做好学习组织管理工作。组织开展好“学习强国”号公交车每月15日主题宣传和竞赛活动。按照中宣部“每日排名、每周通报、每月公告”要求，对各地区各单位学员覆盖率、学习活跃度、平均积分、供稿用稿情况进行统计通报，编辑《 “学习强国” 包头市学用工作通报》，加强“学习强国”队伍培训工作，每年评选表彰优秀组织单位和优秀学员。</w:t>
      </w:r>
    </w:p>
    <w:p>
      <w:pPr>
        <w:ind w:firstLine="640"/>
        <w:rPr>
          <w:rFonts w:ascii="仿宋" w:hAnsi="仿宋" w:eastAsia="仿宋" w:cs="黑体"/>
          <w:sz w:val="32"/>
          <w:szCs w:val="32"/>
        </w:rPr>
      </w:pPr>
      <w:r>
        <w:rPr>
          <w:rFonts w:hint="eastAsia" w:ascii="仿宋" w:hAnsi="仿宋" w:eastAsia="仿宋"/>
          <w:b/>
          <w:bCs/>
          <w:sz w:val="32"/>
          <w:szCs w:val="32"/>
        </w:rPr>
        <w:t>（五）党建和党风廉政建设、意识形态工作 。</w:t>
      </w:r>
      <w:r>
        <w:rPr>
          <w:rFonts w:hint="eastAsia" w:ascii="仿宋" w:hAnsi="仿宋" w:eastAsia="仿宋"/>
          <w:sz w:val="32"/>
          <w:szCs w:val="32"/>
        </w:rPr>
        <w:t>落实市委及市委宣传部对党建工作的安排部署，认真抓好讲师团党支部的各项工作。制定完善学习制度和学习计划，抓好讲师团人员的日常学习，保证每2周组织一次集中学习研讨，每月开展一次全员讲课和党员固定活动日活动，每季度组织一次知识测试并及时表彰，每年组织评选一次优秀党员。组织好“三会一课”、组织生活会、民主评议党员、“双服务、双认领”等工作。落实好纪检和党风廉政建设、意识形态各项工作。</w:t>
      </w:r>
      <w:r>
        <w:rPr>
          <w:rFonts w:hint="eastAsia" w:ascii="仿宋" w:hAnsi="仿宋" w:eastAsia="仿宋" w:cs="黑体"/>
          <w:sz w:val="32"/>
          <w:szCs w:val="32"/>
        </w:rPr>
        <w:t>做好全国宣传宣讲工作创新理念、手段、方式、平台等信息的组织汇总工作。</w:t>
      </w:r>
    </w:p>
    <w:p>
      <w:pPr>
        <w:spacing w:line="560" w:lineRule="exact"/>
        <w:ind w:firstLine="640" w:firstLineChars="200"/>
        <w:rPr>
          <w:rFonts w:ascii="方正小标宋简体" w:hAnsi="宋体" w:eastAsia="方正小标宋简体"/>
          <w:bCs/>
          <w:sz w:val="36"/>
          <w:szCs w:val="36"/>
        </w:rPr>
      </w:pPr>
      <w:r>
        <w:rPr>
          <w:rFonts w:hint="eastAsia" w:ascii="黑体" w:hAnsi="黑体" w:eastAsia="黑体"/>
          <w:bCs/>
          <w:sz w:val="32"/>
          <w:szCs w:val="32"/>
        </w:rPr>
        <w:t>三、机构设置及部门预算单位构成</w:t>
      </w:r>
    </w:p>
    <w:p>
      <w:pPr>
        <w:widowControl/>
        <w:spacing w:line="580" w:lineRule="exact"/>
        <w:ind w:firstLine="643"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（一）包头市委讲师团</w:t>
      </w:r>
    </w:p>
    <w:p>
      <w:pPr>
        <w:tabs>
          <w:tab w:val="left" w:pos="3532"/>
        </w:tabs>
        <w:autoSpaceDE w:val="0"/>
        <w:autoSpaceDN w:val="0"/>
        <w:adjustRightInd w:val="0"/>
        <w:spacing w:line="560" w:lineRule="exact"/>
        <w:ind w:firstLine="320" w:firstLineChars="1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2021年，包头市委讲师团共有机构数是1家，其中全额拨款事业单位为1家，与去年相比，机构数无变化。</w:t>
      </w:r>
    </w:p>
    <w:p>
      <w:pPr>
        <w:tabs>
          <w:tab w:val="left" w:pos="3532"/>
        </w:tabs>
        <w:autoSpaceDE w:val="0"/>
        <w:autoSpaceDN w:val="0"/>
        <w:adjustRightInd w:val="0"/>
        <w:spacing w:line="560" w:lineRule="exact"/>
        <w:ind w:firstLine="320" w:firstLineChars="1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编制2021年部门预算的基准日期以2020年9月末为准，事业编制12人，实有人数8人；享受财政补助遗属0人，离退休人员6人（离休0人，退休6人）。</w:t>
      </w:r>
    </w:p>
    <w:p>
      <w:pPr>
        <w:widowControl/>
        <w:spacing w:line="580" w:lineRule="exact"/>
        <w:ind w:firstLine="643"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（二）包头市委讲师团单位设置</w:t>
      </w:r>
    </w:p>
    <w:p>
      <w:pPr>
        <w:tabs>
          <w:tab w:val="left" w:pos="3532"/>
        </w:tabs>
        <w:autoSpaceDE w:val="0"/>
        <w:autoSpaceDN w:val="0"/>
        <w:adjustRightInd w:val="0"/>
        <w:spacing w:line="560" w:lineRule="exact"/>
        <w:ind w:firstLine="645"/>
        <w:rPr>
          <w:rFonts w:ascii="仿宋_GB2312" w:hAnsi="宋体" w:eastAsia="仿宋_GB2312"/>
          <w:bCs/>
          <w:sz w:val="32"/>
          <w:szCs w:val="32"/>
        </w:rPr>
      </w:pPr>
      <w:r>
        <w:rPr>
          <w:rFonts w:hint="eastAsia" w:ascii="仿宋_GB2312" w:hAnsi="宋体" w:eastAsia="仿宋_GB2312"/>
          <w:bCs/>
          <w:sz w:val="32"/>
          <w:szCs w:val="32"/>
        </w:rPr>
        <w:t xml:space="preserve"> 纳入财政局2021年部门预算编制范围的单位情况如下：</w:t>
      </w:r>
    </w:p>
    <w:p>
      <w:pPr>
        <w:tabs>
          <w:tab w:val="left" w:pos="3532"/>
        </w:tabs>
        <w:autoSpaceDE w:val="0"/>
        <w:autoSpaceDN w:val="0"/>
        <w:adjustRightInd w:val="0"/>
        <w:spacing w:line="560" w:lineRule="exact"/>
        <w:ind w:firstLine="645"/>
        <w:rPr>
          <w:rFonts w:ascii="仿宋_GB2312" w:hAnsi="宋体" w:eastAsia="仿宋_GB2312"/>
          <w:bCs/>
          <w:sz w:val="32"/>
          <w:szCs w:val="32"/>
        </w:rPr>
      </w:pPr>
    </w:p>
    <w:tbl>
      <w:tblPr>
        <w:tblStyle w:val="10"/>
        <w:tblW w:w="0" w:type="auto"/>
        <w:jc w:val="center"/>
        <w:tblLayout w:type="fixed"/>
        <w:tblCellMar>
          <w:top w:w="0" w:type="dxa"/>
          <w:left w:w="108" w:type="dxa"/>
          <w:bottom w:w="0" w:type="dxa"/>
          <w:right w:w="108" w:type="dxa"/>
        </w:tblCellMar>
      </w:tblPr>
      <w:tblGrid>
        <w:gridCol w:w="452"/>
        <w:gridCol w:w="4869"/>
        <w:gridCol w:w="3134"/>
      </w:tblGrid>
      <w:tr>
        <w:tblPrEx>
          <w:tblCellMar>
            <w:top w:w="0" w:type="dxa"/>
            <w:left w:w="108" w:type="dxa"/>
            <w:bottom w:w="0" w:type="dxa"/>
            <w:right w:w="108" w:type="dxa"/>
          </w:tblCellMar>
        </w:tblPrEx>
        <w:trPr>
          <w:trHeight w:val="595" w:hRule="atLeast"/>
          <w:jc w:val="center"/>
        </w:trPr>
        <w:tc>
          <w:tcPr>
            <w:tcW w:w="4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4869"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单位名称</w:t>
            </w:r>
          </w:p>
        </w:tc>
        <w:tc>
          <w:tcPr>
            <w:tcW w:w="3134"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单位性质</w:t>
            </w:r>
          </w:p>
        </w:tc>
      </w:tr>
      <w:tr>
        <w:tblPrEx>
          <w:tblCellMar>
            <w:top w:w="0" w:type="dxa"/>
            <w:left w:w="108" w:type="dxa"/>
            <w:bottom w:w="0" w:type="dxa"/>
            <w:right w:w="108" w:type="dxa"/>
          </w:tblCellMar>
        </w:tblPrEx>
        <w:trPr>
          <w:trHeight w:val="364" w:hRule="atLeast"/>
          <w:jc w:val="center"/>
        </w:trPr>
        <w:tc>
          <w:tcPr>
            <w:tcW w:w="452" w:type="dxa"/>
            <w:tcBorders>
              <w:top w:val="nil"/>
              <w:left w:val="single" w:color="auto" w:sz="4" w:space="0"/>
              <w:bottom w:val="single" w:color="auto" w:sz="4" w:space="0"/>
              <w:right w:val="single" w:color="auto" w:sz="4" w:space="0"/>
            </w:tcBorders>
            <w:vAlign w:val="center"/>
          </w:tcPr>
          <w:p>
            <w:pPr>
              <w:widowControl/>
              <w:jc w:val="center"/>
              <w:rPr>
                <w:color w:val="000000"/>
                <w:kern w:val="0"/>
                <w:sz w:val="22"/>
                <w:szCs w:val="22"/>
              </w:rPr>
            </w:pPr>
            <w:r>
              <w:rPr>
                <w:color w:val="000000"/>
                <w:kern w:val="0"/>
                <w:sz w:val="22"/>
                <w:szCs w:val="22"/>
              </w:rPr>
              <w:t>1</w:t>
            </w:r>
          </w:p>
        </w:tc>
        <w:tc>
          <w:tcPr>
            <w:tcW w:w="4869" w:type="dxa"/>
            <w:tcBorders>
              <w:top w:val="nil"/>
              <w:left w:val="nil"/>
              <w:bottom w:val="single" w:color="auto" w:sz="4" w:space="0"/>
              <w:right w:val="single" w:color="auto" w:sz="4" w:space="0"/>
            </w:tcBorders>
            <w:vAlign w:val="center"/>
          </w:tcPr>
          <w:p>
            <w:pPr>
              <w:widowControl/>
              <w:rPr>
                <w:rFonts w:ascii="仿宋_GB2312" w:hAnsi="宋体" w:cs="宋体"/>
                <w:color w:val="000000"/>
                <w:kern w:val="0"/>
                <w:sz w:val="22"/>
                <w:szCs w:val="22"/>
              </w:rPr>
            </w:pPr>
            <w:r>
              <w:rPr>
                <w:rFonts w:hint="eastAsia" w:ascii="仿宋_GB2312" w:hAnsi="宋体" w:cs="宋体"/>
                <w:color w:val="000000"/>
                <w:kern w:val="0"/>
                <w:sz w:val="22"/>
                <w:szCs w:val="22"/>
              </w:rPr>
              <w:t>中共包头市委讲师团本级</w:t>
            </w:r>
          </w:p>
        </w:tc>
        <w:tc>
          <w:tcPr>
            <w:tcW w:w="3134" w:type="dxa"/>
            <w:tcBorders>
              <w:top w:val="nil"/>
              <w:left w:val="nil"/>
              <w:bottom w:val="single" w:color="auto" w:sz="4" w:space="0"/>
              <w:right w:val="single" w:color="auto" w:sz="4" w:space="0"/>
            </w:tcBorders>
            <w:vAlign w:val="center"/>
          </w:tcPr>
          <w:p>
            <w:pPr>
              <w:widowControl/>
              <w:rPr>
                <w:rFonts w:ascii="仿宋_GB2312" w:hAnsi="宋体" w:cs="宋体"/>
                <w:color w:val="000000"/>
                <w:kern w:val="0"/>
                <w:sz w:val="22"/>
                <w:szCs w:val="22"/>
              </w:rPr>
            </w:pPr>
            <w:r>
              <w:rPr>
                <w:rFonts w:hint="eastAsia" w:ascii="仿宋_GB2312" w:hAnsi="宋体" w:cs="宋体"/>
                <w:color w:val="000000"/>
                <w:kern w:val="0"/>
                <w:sz w:val="22"/>
                <w:szCs w:val="22"/>
              </w:rPr>
              <w:t>全额拨款事业单位</w:t>
            </w:r>
          </w:p>
        </w:tc>
      </w:tr>
      <w:tr>
        <w:tblPrEx>
          <w:tblCellMar>
            <w:top w:w="0" w:type="dxa"/>
            <w:left w:w="108" w:type="dxa"/>
            <w:bottom w:w="0" w:type="dxa"/>
            <w:right w:w="108" w:type="dxa"/>
          </w:tblCellMar>
        </w:tblPrEx>
        <w:trPr>
          <w:trHeight w:val="364" w:hRule="atLeast"/>
          <w:jc w:val="center"/>
        </w:trPr>
        <w:tc>
          <w:tcPr>
            <w:tcW w:w="452" w:type="dxa"/>
            <w:tcBorders>
              <w:top w:val="nil"/>
              <w:left w:val="single" w:color="auto" w:sz="4" w:space="0"/>
              <w:bottom w:val="single" w:color="auto" w:sz="4" w:space="0"/>
              <w:right w:val="single" w:color="auto" w:sz="4" w:space="0"/>
            </w:tcBorders>
            <w:vAlign w:val="center"/>
          </w:tcPr>
          <w:p>
            <w:pPr>
              <w:widowControl/>
              <w:jc w:val="center"/>
              <w:rPr>
                <w:color w:val="000000"/>
                <w:kern w:val="0"/>
                <w:sz w:val="22"/>
                <w:szCs w:val="22"/>
              </w:rPr>
            </w:pPr>
            <w:r>
              <w:rPr>
                <w:color w:val="000000"/>
                <w:kern w:val="0"/>
                <w:sz w:val="22"/>
                <w:szCs w:val="22"/>
              </w:rPr>
              <w:t>2</w:t>
            </w:r>
          </w:p>
        </w:tc>
        <w:tc>
          <w:tcPr>
            <w:tcW w:w="4869" w:type="dxa"/>
            <w:tcBorders>
              <w:top w:val="nil"/>
              <w:left w:val="nil"/>
              <w:bottom w:val="single" w:color="auto" w:sz="4" w:space="0"/>
              <w:right w:val="single" w:color="auto" w:sz="4" w:space="0"/>
            </w:tcBorders>
            <w:vAlign w:val="center"/>
          </w:tcPr>
          <w:p>
            <w:pPr>
              <w:widowControl/>
              <w:rPr>
                <w:rFonts w:ascii="仿宋_GB2312" w:hAnsi="宋体" w:cs="宋体"/>
                <w:color w:val="000000"/>
                <w:kern w:val="0"/>
                <w:sz w:val="22"/>
                <w:szCs w:val="22"/>
              </w:rPr>
            </w:pPr>
            <w:r>
              <w:rPr>
                <w:rFonts w:hint="eastAsia" w:ascii="仿宋_GB2312" w:hAnsi="宋体" w:cs="宋体"/>
                <w:color w:val="000000"/>
                <w:kern w:val="0"/>
                <w:sz w:val="22"/>
                <w:szCs w:val="22"/>
              </w:rPr>
              <w:t>中共包头市委讲师团</w:t>
            </w:r>
          </w:p>
        </w:tc>
        <w:tc>
          <w:tcPr>
            <w:tcW w:w="3134" w:type="dxa"/>
            <w:tcBorders>
              <w:top w:val="nil"/>
              <w:left w:val="nil"/>
              <w:bottom w:val="single" w:color="auto" w:sz="4" w:space="0"/>
              <w:right w:val="single" w:color="auto" w:sz="4" w:space="0"/>
            </w:tcBorders>
            <w:vAlign w:val="center"/>
          </w:tcPr>
          <w:p>
            <w:pPr>
              <w:widowControl/>
              <w:rPr>
                <w:rFonts w:ascii="仿宋_GB2312" w:hAnsi="宋体" w:cs="宋体"/>
                <w:color w:val="000000"/>
                <w:kern w:val="0"/>
                <w:sz w:val="22"/>
                <w:szCs w:val="22"/>
              </w:rPr>
            </w:pPr>
            <w:r>
              <w:rPr>
                <w:rFonts w:hint="eastAsia" w:ascii="仿宋_GB2312" w:hAnsi="宋体" w:cs="宋体"/>
                <w:color w:val="000000"/>
                <w:kern w:val="0"/>
                <w:sz w:val="22"/>
                <w:szCs w:val="22"/>
              </w:rPr>
              <w:t>全额拨款事业单位</w:t>
            </w:r>
          </w:p>
        </w:tc>
      </w:tr>
    </w:tbl>
    <w:p>
      <w:pPr>
        <w:spacing w:line="560" w:lineRule="exact"/>
        <w:rPr>
          <w:szCs w:val="32"/>
        </w:rPr>
      </w:pPr>
    </w:p>
    <w:p>
      <w:pPr>
        <w:spacing w:line="560" w:lineRule="exact"/>
        <w:rPr>
          <w:rFonts w:ascii="方正小标宋简体" w:hAnsi="宋体" w:eastAsia="方正小标宋简体"/>
          <w:bCs/>
          <w:sz w:val="36"/>
          <w:szCs w:val="36"/>
        </w:rPr>
      </w:pPr>
    </w:p>
    <w:p>
      <w:pPr>
        <w:spacing w:line="560" w:lineRule="exact"/>
        <w:jc w:val="center"/>
        <w:rPr>
          <w:rFonts w:ascii="方正小标宋简体" w:hAnsi="宋体" w:eastAsia="方正小标宋简体"/>
          <w:bCs/>
          <w:sz w:val="36"/>
          <w:szCs w:val="36"/>
        </w:rPr>
      </w:pPr>
    </w:p>
    <w:p>
      <w:pPr>
        <w:spacing w:line="560" w:lineRule="exact"/>
        <w:jc w:val="center"/>
        <w:rPr>
          <w:rFonts w:ascii="方正小标宋简体" w:hAnsi="宋体" w:eastAsia="方正小标宋简体"/>
          <w:bCs/>
          <w:sz w:val="36"/>
          <w:szCs w:val="36"/>
        </w:rPr>
      </w:pPr>
    </w:p>
    <w:p>
      <w:pPr>
        <w:spacing w:line="560" w:lineRule="exact"/>
        <w:jc w:val="center"/>
        <w:rPr>
          <w:rFonts w:ascii="方正小标宋简体" w:hAnsi="宋体" w:eastAsia="方正小标宋简体"/>
          <w:bCs/>
          <w:sz w:val="36"/>
          <w:szCs w:val="36"/>
        </w:rPr>
      </w:pPr>
    </w:p>
    <w:p>
      <w:pPr>
        <w:spacing w:line="560" w:lineRule="exact"/>
        <w:jc w:val="center"/>
        <w:rPr>
          <w:rFonts w:ascii="方正小标宋简体" w:hAnsi="宋体" w:eastAsia="方正小标宋简体"/>
          <w:bCs/>
          <w:sz w:val="36"/>
          <w:szCs w:val="36"/>
        </w:rPr>
      </w:pPr>
    </w:p>
    <w:p>
      <w:pPr>
        <w:spacing w:line="560" w:lineRule="exact"/>
        <w:jc w:val="center"/>
        <w:rPr>
          <w:rFonts w:ascii="方正小标宋简体" w:hAnsi="宋体" w:eastAsia="方正小标宋简体"/>
          <w:bCs/>
          <w:sz w:val="36"/>
          <w:szCs w:val="36"/>
        </w:rPr>
      </w:pPr>
    </w:p>
    <w:p>
      <w:pPr>
        <w:spacing w:line="560" w:lineRule="exact"/>
        <w:jc w:val="center"/>
        <w:rPr>
          <w:rFonts w:ascii="方正小标宋简体" w:hAnsi="宋体" w:eastAsia="方正小标宋简体"/>
          <w:bCs/>
          <w:sz w:val="36"/>
          <w:szCs w:val="36"/>
        </w:rPr>
      </w:pPr>
    </w:p>
    <w:p>
      <w:pPr>
        <w:spacing w:line="560" w:lineRule="exact"/>
        <w:jc w:val="center"/>
        <w:rPr>
          <w:rFonts w:ascii="方正小标宋简体" w:hAnsi="宋体" w:eastAsia="方正小标宋简体"/>
          <w:bCs/>
          <w:sz w:val="36"/>
          <w:szCs w:val="36"/>
        </w:rPr>
      </w:pPr>
    </w:p>
    <w:p>
      <w:pPr>
        <w:spacing w:line="560" w:lineRule="exact"/>
        <w:jc w:val="center"/>
        <w:rPr>
          <w:rFonts w:ascii="方正小标宋简体" w:hAnsi="宋体" w:eastAsia="方正小标宋简体"/>
          <w:bCs/>
          <w:sz w:val="36"/>
          <w:szCs w:val="36"/>
        </w:rPr>
      </w:pPr>
    </w:p>
    <w:p>
      <w:pPr>
        <w:spacing w:line="560" w:lineRule="exact"/>
        <w:jc w:val="center"/>
        <w:rPr>
          <w:rFonts w:ascii="方正小标宋简体" w:hAnsi="宋体" w:eastAsia="方正小标宋简体"/>
          <w:bCs/>
          <w:sz w:val="36"/>
          <w:szCs w:val="36"/>
        </w:rPr>
      </w:pPr>
    </w:p>
    <w:p>
      <w:pPr>
        <w:spacing w:line="560" w:lineRule="exact"/>
        <w:jc w:val="center"/>
        <w:rPr>
          <w:rFonts w:ascii="方正小标宋简体" w:hAnsi="宋体" w:eastAsia="方正小标宋简体"/>
          <w:bCs/>
          <w:sz w:val="36"/>
          <w:szCs w:val="36"/>
        </w:rPr>
      </w:pPr>
    </w:p>
    <w:p>
      <w:pPr>
        <w:spacing w:line="560" w:lineRule="exact"/>
        <w:jc w:val="center"/>
        <w:rPr>
          <w:rFonts w:ascii="方正小标宋简体" w:hAnsi="宋体" w:eastAsia="方正小标宋简体"/>
          <w:bCs/>
          <w:sz w:val="36"/>
          <w:szCs w:val="36"/>
        </w:rPr>
      </w:pPr>
    </w:p>
    <w:p>
      <w:pPr>
        <w:spacing w:line="560" w:lineRule="exact"/>
        <w:jc w:val="center"/>
        <w:rPr>
          <w:rFonts w:ascii="方正小标宋简体" w:hAnsi="宋体" w:eastAsia="方正小标宋简体"/>
          <w:bCs/>
          <w:sz w:val="36"/>
          <w:szCs w:val="36"/>
        </w:rPr>
      </w:pPr>
    </w:p>
    <w:p>
      <w:pPr>
        <w:spacing w:line="560" w:lineRule="exact"/>
        <w:jc w:val="center"/>
        <w:rPr>
          <w:rFonts w:ascii="方正小标宋简体" w:hAnsi="宋体" w:eastAsia="方正小标宋简体"/>
          <w:bCs/>
          <w:sz w:val="36"/>
          <w:szCs w:val="36"/>
        </w:rPr>
      </w:pPr>
    </w:p>
    <w:p>
      <w:pPr>
        <w:spacing w:line="560" w:lineRule="exact"/>
        <w:jc w:val="center"/>
        <w:rPr>
          <w:rFonts w:ascii="方正小标宋简体" w:hAnsi="宋体" w:eastAsia="方正小标宋简体"/>
          <w:bCs/>
          <w:sz w:val="36"/>
          <w:szCs w:val="36"/>
        </w:rPr>
      </w:pPr>
    </w:p>
    <w:p>
      <w:pPr>
        <w:spacing w:line="560" w:lineRule="exact"/>
        <w:jc w:val="center"/>
        <w:rPr>
          <w:rFonts w:ascii="方正小标宋简体" w:hAnsi="宋体" w:eastAsia="方正小标宋简体"/>
          <w:bCs/>
          <w:sz w:val="36"/>
          <w:szCs w:val="36"/>
        </w:rPr>
      </w:pPr>
    </w:p>
    <w:p>
      <w:pPr>
        <w:spacing w:line="560" w:lineRule="exact"/>
        <w:rPr>
          <w:rFonts w:ascii="方正小标宋简体" w:hAnsi="宋体" w:eastAsia="方正小标宋简体"/>
          <w:bCs/>
          <w:sz w:val="36"/>
          <w:szCs w:val="36"/>
        </w:rPr>
      </w:pPr>
    </w:p>
    <w:p>
      <w:pPr>
        <w:spacing w:line="560" w:lineRule="exact"/>
        <w:rPr>
          <w:rFonts w:ascii="方正小标宋简体" w:hAnsi="宋体" w:eastAsia="方正小标宋简体"/>
          <w:bCs/>
          <w:sz w:val="36"/>
          <w:szCs w:val="36"/>
        </w:rPr>
      </w:pPr>
    </w:p>
    <w:p>
      <w:pPr>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第二部分</w:t>
      </w:r>
    </w:p>
    <w:p>
      <w:pPr>
        <w:spacing w:line="560" w:lineRule="exact"/>
        <w:jc w:val="center"/>
        <w:rPr>
          <w:rFonts w:ascii="方正小标宋简体" w:hAnsi="宋体" w:eastAsia="方正小标宋简体"/>
          <w:bCs/>
          <w:sz w:val="36"/>
          <w:szCs w:val="36"/>
        </w:rPr>
      </w:pPr>
    </w:p>
    <w:p>
      <w:pPr>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包头市委讲师团</w:t>
      </w:r>
    </w:p>
    <w:p>
      <w:pPr>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2021年部门预算安排情况说明</w:t>
      </w: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r>
        <w:rPr>
          <w:rFonts w:hint="eastAsia" w:ascii="方正小标宋简体" w:hAnsi="宋体" w:eastAsia="方正小标宋简体"/>
          <w:bCs/>
          <w:sz w:val="36"/>
          <w:szCs w:val="36"/>
        </w:rPr>
        <w:t xml:space="preserve"> </w:t>
      </w: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widowControl/>
        <w:spacing w:line="360" w:lineRule="auto"/>
        <w:jc w:val="left"/>
        <w:rPr>
          <w:rFonts w:ascii="方正小标宋简体" w:hAnsi="宋体" w:eastAsia="方正小标宋简体"/>
          <w:bCs/>
          <w:sz w:val="32"/>
          <w:szCs w:val="32"/>
        </w:rPr>
      </w:pPr>
    </w:p>
    <w:p>
      <w:pPr>
        <w:widowControl/>
        <w:spacing w:line="360" w:lineRule="auto"/>
        <w:jc w:val="left"/>
        <w:rPr>
          <w:rFonts w:ascii="方正小标宋简体" w:hAnsi="宋体" w:eastAsia="方正小标宋简体"/>
          <w:bCs/>
          <w:sz w:val="32"/>
          <w:szCs w:val="32"/>
        </w:rPr>
      </w:pPr>
    </w:p>
    <w:p>
      <w:pPr>
        <w:widowControl/>
        <w:spacing w:beforeLines="50" w:afterLines="50"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一、2021年公共预算收支情况的总体说明</w:t>
      </w:r>
    </w:p>
    <w:p>
      <w:pPr>
        <w:pBdr>
          <w:bottom w:val="single" w:color="FFFFFF" w:sz="4" w:space="30"/>
        </w:pBdr>
        <w:snapToGrid w:val="0"/>
        <w:spacing w:line="580" w:lineRule="exact"/>
        <w:ind w:firstLine="640" w:firstLineChars="200"/>
        <w:rPr>
          <w:rFonts w:ascii="黑体" w:hAnsi="黑体" w:eastAsia="黑体" w:cs="黑体"/>
          <w:bCs/>
          <w:sz w:val="32"/>
          <w:szCs w:val="32"/>
        </w:rPr>
      </w:pPr>
      <w:r>
        <w:rPr>
          <w:rFonts w:hint="eastAsia" w:ascii="仿宋_GB2312" w:hAnsi="宋体" w:eastAsia="仿宋_GB2312" w:cs="宋体"/>
          <w:kern w:val="0"/>
          <w:sz w:val="32"/>
          <w:szCs w:val="32"/>
        </w:rPr>
        <w:t>2021年部门预算总收入为219.48万元，</w:t>
      </w:r>
      <w:r>
        <w:rPr>
          <w:rFonts w:hint="eastAsia" w:ascii="仿宋_GB2312" w:eastAsia="仿宋_GB2312"/>
          <w:sz w:val="32"/>
          <w:szCs w:val="32"/>
        </w:rPr>
        <w:t>其来源为一般公共预算拨款、其他收入和上年结转结余。主要用于包头市委讲师团本级机构正常运转、完成日常工作任务而发生的的基本支出和为完成特定任务和事业发展所发生的项目支出。比2020年预算净增加</w:t>
      </w:r>
      <w:r>
        <w:rPr>
          <w:rFonts w:hint="eastAsia" w:ascii="仿宋_GB2312" w:eastAsia="仿宋_GB2312"/>
          <w:b/>
          <w:bCs/>
          <w:sz w:val="32"/>
          <w:szCs w:val="32"/>
        </w:rPr>
        <w:t>5.52万元</w:t>
      </w:r>
      <w:r>
        <w:rPr>
          <w:rFonts w:hint="eastAsia" w:ascii="仿宋_GB2312" w:eastAsia="仿宋_GB2312"/>
          <w:sz w:val="32"/>
          <w:szCs w:val="32"/>
        </w:rPr>
        <w:t>，增高了2.52%。净增加的主要原因是</w:t>
      </w:r>
      <w:r>
        <w:rPr>
          <w:rFonts w:hint="eastAsia" w:ascii="仿宋_GB2312" w:eastAsia="仿宋_GB2312"/>
          <w:sz w:val="32"/>
          <w:szCs w:val="32"/>
          <w:lang w:val="en-US" w:eastAsia="zh-CN"/>
        </w:rPr>
        <w:t>项目</w:t>
      </w:r>
      <w:r>
        <w:rPr>
          <w:rFonts w:hint="eastAsia" w:ascii="仿宋_GB2312" w:eastAsia="仿宋_GB2312"/>
          <w:sz w:val="32"/>
          <w:szCs w:val="32"/>
        </w:rPr>
        <w:t>增加，专项经费增加。</w:t>
      </w:r>
    </w:p>
    <w:p>
      <w:pPr>
        <w:pBdr>
          <w:bottom w:val="single" w:color="FFFFFF" w:sz="4" w:space="30"/>
        </w:pBdr>
        <w:snapToGrid w:val="0"/>
        <w:spacing w:line="580" w:lineRule="exact"/>
        <w:ind w:firstLine="643" w:firstLineChars="200"/>
        <w:rPr>
          <w:rFonts w:ascii="楷体_GB2312" w:hAnsi="仿宋" w:eastAsia="楷体_GB2312" w:cs="仿宋"/>
          <w:b/>
          <w:sz w:val="32"/>
          <w:szCs w:val="32"/>
        </w:rPr>
      </w:pPr>
      <w:r>
        <w:rPr>
          <w:rFonts w:hint="eastAsia" w:ascii="楷体_GB2312" w:hAnsi="仿宋" w:eastAsia="楷体_GB2312" w:cs="仿宋"/>
          <w:b/>
          <w:sz w:val="32"/>
          <w:szCs w:val="32"/>
        </w:rPr>
        <w:t>（一）2021年部门预算收入情况说明</w:t>
      </w:r>
    </w:p>
    <w:p>
      <w:pPr>
        <w:pBdr>
          <w:bottom w:val="single" w:color="FFFFFF" w:sz="4" w:space="30"/>
        </w:pBdr>
        <w:snapToGrid w:val="0"/>
        <w:spacing w:line="580" w:lineRule="exact"/>
        <w:ind w:firstLine="640" w:firstLineChars="200"/>
        <w:rPr>
          <w:rFonts w:ascii="楷体_GB2312" w:hAnsi="仿宋" w:eastAsia="楷体_GB2312" w:cs="仿宋"/>
          <w:b/>
          <w:sz w:val="32"/>
          <w:szCs w:val="32"/>
        </w:rPr>
      </w:pPr>
      <w:r>
        <w:rPr>
          <w:rFonts w:hint="eastAsia" w:ascii="仿宋_GB2312" w:hAnsi="宋体" w:eastAsia="仿宋_GB2312"/>
          <w:bCs/>
          <w:sz w:val="32"/>
          <w:szCs w:val="32"/>
        </w:rPr>
        <w:t>包头市委讲师团2021年部门预算总收入</w:t>
      </w:r>
      <w:r>
        <w:rPr>
          <w:rFonts w:hint="eastAsia" w:ascii="仿宋_GB2312" w:hAnsi="宋体" w:eastAsia="仿宋_GB2312" w:cs="宋体"/>
          <w:kern w:val="0"/>
          <w:sz w:val="32"/>
          <w:szCs w:val="32"/>
        </w:rPr>
        <w:t>219.48</w:t>
      </w:r>
      <w:r>
        <w:rPr>
          <w:rFonts w:hint="eastAsia" w:ascii="仿宋_GB2312" w:eastAsia="仿宋_GB2312"/>
          <w:sz w:val="32"/>
          <w:szCs w:val="32"/>
        </w:rPr>
        <w:t>万元；其中一般公共预算</w:t>
      </w:r>
      <w:r>
        <w:rPr>
          <w:rFonts w:hint="eastAsia" w:ascii="仿宋_GB2312" w:hAnsi="宋体" w:eastAsia="仿宋_GB2312" w:cs="宋体"/>
          <w:kern w:val="0"/>
          <w:sz w:val="32"/>
          <w:szCs w:val="32"/>
        </w:rPr>
        <w:t>拨款收入219.48万元；</w:t>
      </w:r>
      <w:r>
        <w:rPr>
          <w:rFonts w:hint="eastAsia" w:ascii="仿宋_GB2312" w:eastAsia="仿宋_GB2312"/>
          <w:sz w:val="32"/>
          <w:szCs w:val="32"/>
        </w:rPr>
        <w:t>政府性基金预算拨款收入0万元；国有资本经营预算拨款收入0万元；财政专户管理资金收入0万元；单位资金收入0万元。</w:t>
      </w:r>
    </w:p>
    <w:p>
      <w:pPr>
        <w:pBdr>
          <w:bottom w:val="single" w:color="FFFFFF" w:sz="4" w:space="30"/>
        </w:pBdr>
        <w:snapToGrid w:val="0"/>
        <w:spacing w:line="580" w:lineRule="exact"/>
        <w:ind w:firstLine="643" w:firstLineChars="200"/>
        <w:rPr>
          <w:rFonts w:ascii="楷体_GB2312" w:hAnsi="仿宋" w:eastAsia="楷体_GB2312" w:cs="仿宋"/>
          <w:b/>
          <w:sz w:val="32"/>
          <w:szCs w:val="32"/>
        </w:rPr>
      </w:pPr>
      <w:r>
        <w:rPr>
          <w:rFonts w:hint="eastAsia" w:ascii="楷体_GB2312" w:hAnsi="仿宋" w:eastAsia="楷体_GB2312" w:cs="仿宋"/>
          <w:b/>
          <w:sz w:val="32"/>
          <w:szCs w:val="32"/>
        </w:rPr>
        <w:t>（二）2021年部门预算支出情况说明</w:t>
      </w:r>
    </w:p>
    <w:p>
      <w:pPr>
        <w:pBdr>
          <w:bottom w:val="single" w:color="FFFFFF" w:sz="4" w:space="30"/>
        </w:pBdr>
        <w:snapToGrid w:val="0"/>
        <w:spacing w:line="580" w:lineRule="exact"/>
        <w:ind w:firstLine="600" w:firstLineChars="200"/>
        <w:rPr>
          <w:rFonts w:ascii="楷体_GB2312" w:hAnsi="仿宋" w:eastAsia="楷体_GB2312" w:cs="仿宋"/>
          <w:b/>
          <w:sz w:val="32"/>
          <w:szCs w:val="32"/>
        </w:rPr>
      </w:pPr>
      <w:r>
        <w:rPr>
          <w:rFonts w:hint="eastAsia" w:ascii="仿宋_GB2312" w:eastAsia="仿宋_GB2312"/>
          <w:spacing w:val="-10"/>
          <w:sz w:val="32"/>
          <w:szCs w:val="32"/>
        </w:rPr>
        <w:t>2021年部门预算支出</w:t>
      </w:r>
      <w:r>
        <w:rPr>
          <w:rFonts w:hint="eastAsia" w:ascii="仿宋_GB2312" w:hAnsi="宋体" w:eastAsia="仿宋_GB2312" w:cs="宋体"/>
          <w:kern w:val="0"/>
          <w:sz w:val="32"/>
          <w:szCs w:val="32"/>
        </w:rPr>
        <w:t xml:space="preserve">219.48 </w:t>
      </w:r>
      <w:r>
        <w:rPr>
          <w:rFonts w:hint="eastAsia" w:ascii="仿宋_GB2312" w:eastAsia="仿宋_GB2312"/>
          <w:spacing w:val="-10"/>
          <w:sz w:val="32"/>
          <w:szCs w:val="32"/>
        </w:rPr>
        <w:t>万元，其中：基本支出114.48万元，占比52.16</w:t>
      </w:r>
      <w:r>
        <w:rPr>
          <w:rFonts w:ascii="仿宋_GB2312" w:eastAsia="仿宋_GB2312"/>
          <w:spacing w:val="-10"/>
          <w:sz w:val="32"/>
          <w:szCs w:val="32"/>
        </w:rPr>
        <w:t>%,</w:t>
      </w:r>
      <w:r>
        <w:rPr>
          <w:rFonts w:hint="eastAsia" w:ascii="仿宋_GB2312" w:eastAsia="仿宋_GB2312"/>
          <w:spacing w:val="-10"/>
          <w:sz w:val="32"/>
          <w:szCs w:val="32"/>
        </w:rPr>
        <w:t>项目支出105万元，占比47.84%。</w:t>
      </w:r>
    </w:p>
    <w:p>
      <w:pPr>
        <w:pBdr>
          <w:bottom w:val="single" w:color="FFFFFF" w:sz="4" w:space="30"/>
        </w:pBdr>
        <w:snapToGrid w:val="0"/>
        <w:spacing w:line="580" w:lineRule="exact"/>
        <w:ind w:firstLine="640" w:firstLineChars="200"/>
        <w:rPr>
          <w:rFonts w:ascii="仿宋_GB2312" w:eastAsia="仿宋_GB2312"/>
          <w:spacing w:val="-10"/>
          <w:sz w:val="32"/>
          <w:szCs w:val="32"/>
        </w:rPr>
      </w:pPr>
      <w:r>
        <w:rPr>
          <w:rFonts w:hint="eastAsia" w:ascii="黑体" w:hAnsi="黑体" w:eastAsia="黑体" w:cs="黑体"/>
          <w:bCs/>
          <w:sz w:val="32"/>
          <w:szCs w:val="32"/>
        </w:rPr>
        <w:t>二、2021年一般公共预算拨款收支情况说明</w:t>
      </w:r>
    </w:p>
    <w:p>
      <w:pPr>
        <w:numPr>
          <w:ilvl w:val="0"/>
          <w:numId w:val="3"/>
        </w:numPr>
        <w:pBdr>
          <w:bottom w:val="single" w:color="FFFFFF" w:sz="4" w:space="30"/>
        </w:pBdr>
        <w:snapToGrid w:val="0"/>
        <w:spacing w:line="58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财政拨款规模情况</w:t>
      </w:r>
    </w:p>
    <w:p>
      <w:pPr>
        <w:pBdr>
          <w:bottom w:val="single" w:color="FFFFFF" w:sz="4" w:space="30"/>
        </w:pBdr>
        <w:snapToGrid w:val="0"/>
        <w:spacing w:line="580" w:lineRule="exact"/>
        <w:ind w:firstLine="640" w:firstLineChars="200"/>
        <w:rPr>
          <w:rFonts w:ascii="楷体_GB2312" w:hAnsi="宋体" w:eastAsia="楷体_GB2312"/>
          <w:b/>
          <w:sz w:val="32"/>
          <w:szCs w:val="32"/>
        </w:rPr>
      </w:pPr>
      <w:r>
        <w:rPr>
          <w:rFonts w:hint="eastAsia" w:ascii="仿宋_GB2312" w:hAnsi="宋体" w:eastAsia="仿宋_GB2312"/>
          <w:bCs/>
          <w:sz w:val="32"/>
          <w:szCs w:val="32"/>
        </w:rPr>
        <w:t>中共包头市委讲师团部门2021年财政拨款收支总预算为</w:t>
      </w:r>
      <w:r>
        <w:rPr>
          <w:rFonts w:hint="eastAsia" w:ascii="仿宋_GB2312" w:hAnsi="宋体" w:eastAsia="仿宋_GB2312" w:cs="宋体"/>
          <w:kern w:val="0"/>
          <w:sz w:val="32"/>
          <w:szCs w:val="32"/>
        </w:rPr>
        <w:t>219.48</w:t>
      </w:r>
      <w:r>
        <w:rPr>
          <w:rFonts w:hint="eastAsia" w:ascii="仿宋_GB2312" w:hAnsi="宋体" w:eastAsia="仿宋_GB2312"/>
          <w:bCs/>
          <w:sz w:val="32"/>
          <w:szCs w:val="32"/>
        </w:rPr>
        <w:t>万元，一般公共预算拨款收入数为</w:t>
      </w:r>
      <w:r>
        <w:rPr>
          <w:rFonts w:hint="eastAsia" w:ascii="仿宋_GB2312" w:hAnsi="宋体" w:eastAsia="仿宋_GB2312" w:cs="宋体"/>
          <w:kern w:val="0"/>
          <w:sz w:val="32"/>
          <w:szCs w:val="32"/>
        </w:rPr>
        <w:t>219.48</w:t>
      </w:r>
      <w:r>
        <w:rPr>
          <w:rFonts w:hint="eastAsia" w:ascii="仿宋_GB2312" w:hAnsi="宋体" w:eastAsia="仿宋_GB2312"/>
          <w:bCs/>
          <w:sz w:val="32"/>
          <w:szCs w:val="32"/>
        </w:rPr>
        <w:t xml:space="preserve">万元，占比100 </w:t>
      </w:r>
      <w:r>
        <w:rPr>
          <w:rFonts w:hint="eastAsia" w:ascii="仿宋_GB2312" w:hAnsi="宋体" w:eastAsia="仿宋_GB2312" w:cs="宋体"/>
          <w:kern w:val="0"/>
          <w:sz w:val="32"/>
          <w:szCs w:val="32"/>
        </w:rPr>
        <w:t>%</w:t>
      </w:r>
      <w:r>
        <w:rPr>
          <w:rFonts w:hint="eastAsia" w:ascii="仿宋_GB2312" w:eastAsia="仿宋_GB2312"/>
          <w:sz w:val="32"/>
          <w:szCs w:val="32"/>
        </w:rPr>
        <w:t>。</w:t>
      </w:r>
    </w:p>
    <w:p>
      <w:pPr>
        <w:numPr>
          <w:ilvl w:val="0"/>
          <w:numId w:val="3"/>
        </w:numPr>
        <w:pBdr>
          <w:bottom w:val="single" w:color="FFFFFF" w:sz="4" w:space="30"/>
        </w:pBdr>
        <w:snapToGrid w:val="0"/>
        <w:spacing w:line="58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财政拨款预算结构情况</w:t>
      </w:r>
    </w:p>
    <w:p>
      <w:pPr>
        <w:pBdr>
          <w:bottom w:val="single" w:color="FFFFFF" w:sz="4" w:space="30"/>
        </w:pBdr>
        <w:snapToGrid w:val="0"/>
        <w:spacing w:line="580" w:lineRule="exact"/>
        <w:ind w:firstLine="640" w:firstLineChars="200"/>
        <w:rPr>
          <w:rFonts w:ascii="楷体_GB2312" w:hAnsi="宋体" w:eastAsia="楷体_GB2312"/>
          <w:b/>
          <w:sz w:val="32"/>
          <w:szCs w:val="32"/>
        </w:rPr>
      </w:pPr>
      <w:r>
        <w:rPr>
          <w:rFonts w:hint="eastAsia" w:ascii="仿宋_GB2312" w:hAnsi="宋体" w:eastAsia="仿宋_GB2312"/>
          <w:bCs/>
          <w:sz w:val="32"/>
          <w:szCs w:val="32"/>
        </w:rPr>
        <w:t>2021年部门预算中，财政拨款支出数为</w:t>
      </w:r>
      <w:r>
        <w:rPr>
          <w:rFonts w:hint="eastAsia" w:ascii="仿宋_GB2312" w:hAnsi="宋体" w:eastAsia="仿宋_GB2312" w:cs="宋体"/>
          <w:kern w:val="0"/>
          <w:sz w:val="32"/>
          <w:szCs w:val="32"/>
        </w:rPr>
        <w:t>219.48</w:t>
      </w:r>
      <w:r>
        <w:rPr>
          <w:rFonts w:hint="eastAsia" w:ascii="仿宋_GB2312" w:hAnsi="宋体" w:eastAsia="仿宋_GB2312"/>
          <w:bCs/>
          <w:sz w:val="32"/>
          <w:szCs w:val="32"/>
        </w:rPr>
        <w:t>万元，</w:t>
      </w:r>
    </w:p>
    <w:p>
      <w:pPr>
        <w:pBdr>
          <w:bottom w:val="single" w:color="FFFFFF" w:sz="4" w:space="30"/>
        </w:pBdr>
        <w:snapToGrid w:val="0"/>
        <w:spacing w:line="580" w:lineRule="exact"/>
        <w:rPr>
          <w:rFonts w:ascii="楷体_GB2312" w:hAnsi="宋体" w:eastAsia="楷体_GB2312"/>
          <w:b/>
          <w:sz w:val="32"/>
          <w:szCs w:val="32"/>
        </w:rPr>
      </w:pPr>
      <w:r>
        <w:rPr>
          <w:rFonts w:hint="eastAsia" w:ascii="仿宋_GB2312" w:hAnsi="宋体" w:eastAsia="仿宋_GB2312"/>
          <w:bCs/>
          <w:sz w:val="32"/>
          <w:szCs w:val="32"/>
        </w:rPr>
        <w:t>用于以下方面：</w:t>
      </w:r>
      <w:r>
        <w:rPr>
          <w:rFonts w:hint="eastAsia" w:ascii="仿宋_GB2312" w:hAnsi="宋体" w:eastAsia="仿宋_GB2312"/>
          <w:b/>
          <w:bCs/>
          <w:sz w:val="32"/>
          <w:szCs w:val="32"/>
        </w:rPr>
        <w:t>科学技术(类)支出195.84</w:t>
      </w:r>
      <w:r>
        <w:rPr>
          <w:rFonts w:hint="eastAsia" w:ascii="仿宋_GB2312" w:hAnsi="宋体" w:eastAsia="仿宋_GB2312"/>
          <w:bCs/>
          <w:sz w:val="32"/>
          <w:szCs w:val="32"/>
        </w:rPr>
        <w:t>万元，占支出的89.23 %；</w:t>
      </w:r>
      <w:r>
        <w:rPr>
          <w:rFonts w:hint="eastAsia" w:ascii="仿宋_GB2312" w:hAnsi="宋体" w:eastAsia="仿宋_GB2312"/>
          <w:b/>
          <w:bCs/>
          <w:sz w:val="32"/>
          <w:szCs w:val="32"/>
        </w:rPr>
        <w:t>社会保障和就业（类）</w:t>
      </w:r>
      <w:r>
        <w:rPr>
          <w:rFonts w:hint="eastAsia" w:ascii="仿宋_GB2312" w:hAnsi="宋体" w:eastAsia="仿宋_GB2312"/>
          <w:bCs/>
          <w:sz w:val="32"/>
          <w:szCs w:val="32"/>
        </w:rPr>
        <w:t>支出11.55万元，占支出的5.26 %；</w:t>
      </w:r>
      <w:r>
        <w:rPr>
          <w:rFonts w:hint="eastAsia" w:ascii="仿宋_GB2312" w:hAnsi="宋体" w:eastAsia="仿宋_GB2312"/>
          <w:b/>
          <w:sz w:val="32"/>
          <w:szCs w:val="32"/>
        </w:rPr>
        <w:t>卫生健康</w:t>
      </w:r>
      <w:r>
        <w:rPr>
          <w:rFonts w:hint="eastAsia" w:ascii="仿宋_GB2312" w:hAnsi="宋体" w:eastAsia="仿宋_GB2312"/>
          <w:bCs/>
          <w:sz w:val="32"/>
          <w:szCs w:val="32"/>
        </w:rPr>
        <w:t xml:space="preserve"> </w:t>
      </w:r>
      <w:r>
        <w:rPr>
          <w:rFonts w:hint="eastAsia" w:ascii="仿宋_GB2312" w:hAnsi="宋体" w:eastAsia="仿宋_GB2312"/>
          <w:b/>
          <w:sz w:val="32"/>
          <w:szCs w:val="32"/>
        </w:rPr>
        <w:t>（类）</w:t>
      </w:r>
      <w:r>
        <w:rPr>
          <w:rFonts w:hint="eastAsia" w:ascii="仿宋_GB2312" w:hAnsi="宋体" w:eastAsia="仿宋_GB2312"/>
          <w:sz w:val="32"/>
          <w:szCs w:val="32"/>
        </w:rPr>
        <w:t>支出4.27</w:t>
      </w:r>
      <w:r>
        <w:rPr>
          <w:rFonts w:hint="eastAsia" w:ascii="仿宋_GB2312" w:hAnsi="宋体" w:eastAsia="仿宋_GB2312"/>
          <w:bCs/>
          <w:sz w:val="32"/>
          <w:szCs w:val="32"/>
        </w:rPr>
        <w:t>万元，占支出的1.95%；</w:t>
      </w:r>
      <w:r>
        <w:rPr>
          <w:rFonts w:hint="eastAsia" w:ascii="仿宋_GB2312" w:hAnsi="宋体" w:eastAsia="仿宋_GB2312"/>
          <w:b/>
          <w:bCs/>
          <w:sz w:val="32"/>
          <w:szCs w:val="32"/>
        </w:rPr>
        <w:t>住房保障（类）</w:t>
      </w:r>
      <w:r>
        <w:rPr>
          <w:rFonts w:hint="eastAsia" w:ascii="仿宋_GB2312" w:hAnsi="宋体" w:eastAsia="仿宋_GB2312"/>
          <w:bCs/>
          <w:sz w:val="32"/>
          <w:szCs w:val="32"/>
        </w:rPr>
        <w:t>支出7.83万元，占支出的3.57%。</w:t>
      </w:r>
    </w:p>
    <w:p>
      <w:pPr>
        <w:numPr>
          <w:ilvl w:val="0"/>
          <w:numId w:val="3"/>
        </w:numPr>
        <w:pBdr>
          <w:bottom w:val="single" w:color="FFFFFF" w:sz="4" w:space="30"/>
        </w:pBdr>
        <w:snapToGrid w:val="0"/>
        <w:spacing w:line="580" w:lineRule="exact"/>
        <w:ind w:firstLine="643" w:firstLineChars="200"/>
        <w:rPr>
          <w:rFonts w:ascii="楷体_GB2312" w:hAnsi="宋体" w:eastAsia="楷体_GB2312" w:cs="宋体"/>
          <w:b/>
          <w:bCs/>
          <w:sz w:val="32"/>
          <w:szCs w:val="32"/>
        </w:rPr>
      </w:pPr>
      <w:r>
        <w:rPr>
          <w:rFonts w:hint="eastAsia" w:ascii="楷体_GB2312" w:hAnsi="宋体" w:eastAsia="楷体_GB2312"/>
          <w:b/>
          <w:bCs/>
          <w:sz w:val="32"/>
          <w:szCs w:val="32"/>
        </w:rPr>
        <w:t>一般公共预算支出情况说明</w:t>
      </w:r>
    </w:p>
    <w:p>
      <w:pPr>
        <w:pBdr>
          <w:bottom w:val="single" w:color="FFFFFF" w:sz="4" w:space="30"/>
        </w:pBdr>
        <w:snapToGrid w:val="0"/>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2021年财政拨款预算数为</w:t>
      </w:r>
      <w:r>
        <w:rPr>
          <w:rFonts w:hint="eastAsia" w:ascii="仿宋_GB2312" w:hAnsi="宋体" w:eastAsia="仿宋_GB2312" w:cs="宋体"/>
          <w:kern w:val="0"/>
          <w:sz w:val="32"/>
          <w:szCs w:val="32"/>
        </w:rPr>
        <w:t>219.48</w:t>
      </w:r>
      <w:r>
        <w:rPr>
          <w:rFonts w:hint="eastAsia" w:ascii="仿宋_GB2312" w:hAnsi="宋体" w:eastAsia="仿宋_GB2312" w:cs="宋体"/>
          <w:sz w:val="32"/>
          <w:szCs w:val="32"/>
        </w:rPr>
        <w:t>万元，比2020年财政拨款预算数增加</w:t>
      </w:r>
      <w:r>
        <w:rPr>
          <w:rFonts w:hint="eastAsia" w:ascii="仿宋_GB2312" w:eastAsia="仿宋_GB2312"/>
          <w:sz w:val="32"/>
          <w:szCs w:val="32"/>
        </w:rPr>
        <w:t>5.52</w:t>
      </w:r>
      <w:r>
        <w:rPr>
          <w:rFonts w:hint="eastAsia" w:ascii="仿宋_GB2312" w:hAnsi="宋体" w:eastAsia="仿宋_GB2312" w:cs="宋体"/>
          <w:sz w:val="32"/>
          <w:szCs w:val="32"/>
        </w:rPr>
        <w:t>万元，</w:t>
      </w:r>
      <w:r>
        <w:rPr>
          <w:rFonts w:hint="eastAsia" w:ascii="仿宋_GB2312" w:hAnsi="宋体" w:eastAsia="仿宋_GB2312"/>
          <w:bCs/>
          <w:sz w:val="32"/>
          <w:szCs w:val="32"/>
        </w:rPr>
        <w:t xml:space="preserve"> </w:t>
      </w:r>
      <w:r>
        <w:rPr>
          <w:rFonts w:hint="eastAsia" w:ascii="仿宋_GB2312" w:hAnsi="宋体" w:eastAsia="仿宋_GB2312"/>
          <w:b/>
          <w:bCs/>
          <w:sz w:val="32"/>
          <w:szCs w:val="32"/>
        </w:rPr>
        <w:t>科学技术</w:t>
      </w:r>
      <w:r>
        <w:rPr>
          <w:rFonts w:hint="eastAsia" w:ascii="仿宋_GB2312" w:hAnsi="宋体" w:eastAsia="仿宋_GB2312" w:cs="宋体"/>
          <w:b/>
          <w:bCs/>
          <w:sz w:val="32"/>
          <w:szCs w:val="32"/>
        </w:rPr>
        <w:t>类2021年财政拨款预算数为195.84万元</w:t>
      </w:r>
      <w:r>
        <w:rPr>
          <w:rFonts w:hint="eastAsia" w:ascii="仿宋_GB2312" w:hAnsi="宋体" w:eastAsia="仿宋_GB2312" w:cs="宋体"/>
          <w:sz w:val="32"/>
          <w:szCs w:val="32"/>
        </w:rPr>
        <w:t>，比上年</w:t>
      </w:r>
      <w:r>
        <w:rPr>
          <w:rFonts w:hint="eastAsia" w:ascii="仿宋_GB2312" w:hAnsi="宋体" w:eastAsia="仿宋_GB2312" w:cs="宋体"/>
          <w:b/>
          <w:bCs/>
          <w:sz w:val="32"/>
          <w:szCs w:val="32"/>
        </w:rPr>
        <w:t>增加11.98</w:t>
      </w:r>
      <w:r>
        <w:rPr>
          <w:rFonts w:hint="eastAsia" w:ascii="仿宋_GB2312" w:hAnsi="宋体" w:eastAsia="仿宋_GB2312" w:cs="宋体"/>
          <w:sz w:val="32"/>
          <w:szCs w:val="32"/>
        </w:rPr>
        <w:t>万元。其中：</w:t>
      </w:r>
    </w:p>
    <w:p>
      <w:pPr>
        <w:numPr>
          <w:ilvl w:val="0"/>
          <w:numId w:val="4"/>
        </w:numPr>
        <w:pBdr>
          <w:bottom w:val="single" w:color="FFFFFF" w:sz="4" w:space="30"/>
        </w:pBdr>
        <w:snapToGrid w:val="0"/>
        <w:spacing w:line="580" w:lineRule="exact"/>
        <w:ind w:firstLine="643" w:firstLineChars="200"/>
        <w:rPr>
          <w:rFonts w:ascii="仿宋_GB2312" w:eastAsia="仿宋_GB2312"/>
          <w:sz w:val="32"/>
          <w:szCs w:val="32"/>
        </w:rPr>
      </w:pPr>
      <w:r>
        <w:rPr>
          <w:rFonts w:hint="eastAsia" w:ascii="仿宋_GB2312" w:eastAsia="仿宋_GB2312"/>
          <w:b/>
          <w:sz w:val="32"/>
          <w:szCs w:val="32"/>
        </w:rPr>
        <w:t>社会科学研究机构（类）：</w:t>
      </w:r>
      <w:r>
        <w:rPr>
          <w:rFonts w:hint="eastAsia" w:ascii="仿宋_GB2312" w:eastAsia="仿宋_GB2312"/>
          <w:sz w:val="32"/>
          <w:szCs w:val="32"/>
        </w:rPr>
        <w:t>2021年财政拨款预算数为</w:t>
      </w:r>
      <w:r>
        <w:rPr>
          <w:rFonts w:hint="eastAsia" w:ascii="仿宋_GB2312" w:hAnsi="宋体" w:eastAsia="仿宋_GB2312" w:cs="宋体"/>
          <w:b/>
          <w:bCs/>
          <w:sz w:val="32"/>
          <w:szCs w:val="32"/>
        </w:rPr>
        <w:t>90.84</w:t>
      </w:r>
      <w:r>
        <w:rPr>
          <w:rFonts w:hint="eastAsia" w:ascii="仿宋_GB2312" w:eastAsia="仿宋_GB2312"/>
          <w:sz w:val="32"/>
          <w:szCs w:val="32"/>
        </w:rPr>
        <w:t>万元。主要用于讲师团单位在职人员基本工资、津贴补贴等人员经费以及单位运行经费支出，保障机构正常运行、开展日常工作。此项支出比2020年财政拨款预算数</w:t>
      </w:r>
      <w:r>
        <w:rPr>
          <w:rFonts w:hint="eastAsia" w:ascii="仿宋_GB2312" w:hAnsi="宋体" w:eastAsia="仿宋_GB2312" w:cs="宋体"/>
          <w:sz w:val="32"/>
          <w:szCs w:val="32"/>
        </w:rPr>
        <w:t>比上年</w:t>
      </w:r>
      <w:r>
        <w:rPr>
          <w:rFonts w:hint="eastAsia" w:ascii="仿宋_GB2312" w:hAnsi="宋体" w:eastAsia="仿宋_GB2312" w:cs="宋体"/>
          <w:b/>
          <w:bCs/>
          <w:sz w:val="32"/>
          <w:szCs w:val="32"/>
        </w:rPr>
        <w:t>减少16.02</w:t>
      </w:r>
      <w:r>
        <w:rPr>
          <w:rFonts w:hint="eastAsia" w:ascii="仿宋_GB2312" w:eastAsia="仿宋_GB2312"/>
          <w:sz w:val="32"/>
          <w:szCs w:val="32"/>
        </w:rPr>
        <w:t>万元。主要原因是人员</w:t>
      </w:r>
      <w:r>
        <w:rPr>
          <w:rFonts w:hint="eastAsia" w:ascii="仿宋_GB2312" w:hAnsi="宋体" w:eastAsia="仿宋_GB2312" w:cs="宋体"/>
          <w:b/>
          <w:bCs/>
          <w:sz w:val="32"/>
          <w:szCs w:val="32"/>
        </w:rPr>
        <w:t>减少</w:t>
      </w:r>
      <w:r>
        <w:rPr>
          <w:rFonts w:hint="eastAsia" w:ascii="仿宋_GB2312" w:eastAsia="仿宋_GB2312"/>
          <w:sz w:val="32"/>
          <w:szCs w:val="32"/>
        </w:rPr>
        <w:t>，</w:t>
      </w:r>
      <w:r>
        <w:rPr>
          <w:rFonts w:hint="eastAsia" w:ascii="仿宋_GB2312" w:hAnsi="宋体" w:eastAsia="仿宋_GB2312" w:cs="宋体"/>
          <w:b/>
          <w:bCs/>
          <w:sz w:val="32"/>
          <w:szCs w:val="32"/>
        </w:rPr>
        <w:t>减少</w:t>
      </w:r>
      <w:r>
        <w:rPr>
          <w:rFonts w:hint="eastAsia" w:ascii="仿宋_GB2312" w:eastAsia="仿宋_GB2312"/>
          <w:sz w:val="32"/>
          <w:szCs w:val="32"/>
        </w:rPr>
        <w:t>预算。</w:t>
      </w:r>
    </w:p>
    <w:p>
      <w:pPr>
        <w:pBdr>
          <w:bottom w:val="single" w:color="FFFFFF" w:sz="4" w:space="30"/>
        </w:pBdr>
        <w:snapToGrid w:val="0"/>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其他社会科学支出（类）：</w:t>
      </w:r>
      <w:r>
        <w:rPr>
          <w:rFonts w:hint="eastAsia" w:ascii="仿宋_GB2312" w:hAnsi="仿宋_GB2312" w:eastAsia="仿宋_GB2312" w:cs="仿宋_GB2312"/>
          <w:sz w:val="32"/>
          <w:szCs w:val="32"/>
        </w:rPr>
        <w:t>2021年财政拨款预算数为105万元。主要用于：项目经费支出，包括此专项支出比2020年财政拨款预算数增加</w:t>
      </w:r>
      <w:r>
        <w:rPr>
          <w:rFonts w:hint="eastAsia" w:ascii="仿宋_GB2312" w:hAnsi="仿宋_GB2312" w:eastAsia="仿宋_GB2312" w:cs="仿宋_GB2312"/>
          <w:b/>
          <w:bCs/>
          <w:sz w:val="32"/>
          <w:szCs w:val="32"/>
        </w:rPr>
        <w:t>28</w:t>
      </w:r>
      <w:r>
        <w:rPr>
          <w:rFonts w:hint="eastAsia" w:ascii="仿宋_GB2312" w:hAnsi="仿宋_GB2312" w:eastAsia="仿宋_GB2312" w:cs="仿宋_GB2312"/>
          <w:sz w:val="32"/>
          <w:szCs w:val="32"/>
        </w:rPr>
        <w:t>万元，原因是：</w:t>
      </w:r>
      <w:r>
        <w:rPr>
          <w:rFonts w:hint="eastAsia" w:ascii="仿宋_GB2312" w:eastAsia="仿宋_GB2312"/>
          <w:sz w:val="32"/>
          <w:szCs w:val="32"/>
          <w:lang w:val="en-US" w:eastAsia="zh-CN"/>
        </w:rPr>
        <w:t>项目</w:t>
      </w:r>
      <w:r>
        <w:rPr>
          <w:rFonts w:hint="eastAsia" w:ascii="仿宋_GB2312" w:eastAsia="仿宋_GB2312"/>
          <w:sz w:val="32"/>
          <w:szCs w:val="32"/>
        </w:rPr>
        <w:t>增加，专项经费增加。</w:t>
      </w:r>
    </w:p>
    <w:p>
      <w:pPr>
        <w:pBdr>
          <w:bottom w:val="single" w:color="FFFFFF" w:sz="4" w:space="30"/>
        </w:pBdr>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（四）一般公共预算基本支出情况说明</w:t>
      </w:r>
    </w:p>
    <w:p>
      <w:pPr>
        <w:pBdr>
          <w:bottom w:val="single" w:color="FFFFFF" w:sz="4" w:space="30"/>
        </w:pBdr>
        <w:snapToGrid w:val="0"/>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1.社会保障和就业（类）行政事业单位养老支出（款）</w:t>
      </w:r>
      <w:r>
        <w:rPr>
          <w:rFonts w:hint="eastAsia" w:ascii="仿宋_GB2312" w:hAnsi="仿宋_GB2312" w:eastAsia="仿宋_GB2312" w:cs="仿宋_GB2312"/>
          <w:sz w:val="32"/>
          <w:szCs w:val="32"/>
        </w:rPr>
        <w:t>：</w:t>
      </w:r>
    </w:p>
    <w:p>
      <w:pPr>
        <w:pBdr>
          <w:bottom w:val="single" w:color="FFFFFF" w:sz="4" w:space="30"/>
        </w:pBd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财政拨款预算数为11.55万元。归口管理的行政单位离退休（项）1.11万元，主要用于讲师团机关的离退休人员经费。机关事业单位基本养老保险缴费支出（项）10.43万元用于讲师团机关和厅属事业单位养老保险和职业年金的缴存。比2020年财政拨款预算数减少4.8万元。减少原因是</w:t>
      </w:r>
      <w:r>
        <w:rPr>
          <w:rFonts w:hint="eastAsia" w:ascii="仿宋_GB2312" w:hAnsi="仿宋_GB2312" w:eastAsia="仿宋_GB2312" w:cs="仿宋_GB2312"/>
          <w:sz w:val="32"/>
          <w:szCs w:val="32"/>
          <w:lang w:val="en-US" w:eastAsia="zh-CN"/>
        </w:rPr>
        <w:t>人员减少</w:t>
      </w:r>
      <w:r>
        <w:rPr>
          <w:rFonts w:hint="eastAsia" w:ascii="仿宋_GB2312" w:hAnsi="仿宋_GB2312" w:eastAsia="仿宋_GB2312" w:cs="仿宋_GB2312"/>
          <w:sz w:val="32"/>
          <w:szCs w:val="32"/>
        </w:rPr>
        <w:t>。</w:t>
      </w:r>
    </w:p>
    <w:p>
      <w:pPr>
        <w:numPr>
          <w:ilvl w:val="0"/>
          <w:numId w:val="5"/>
        </w:numPr>
        <w:pBdr>
          <w:bottom w:val="single" w:color="FFFFFF" w:sz="4" w:space="30"/>
        </w:pBdr>
        <w:snapToGrid w:val="0"/>
        <w:spacing w:line="580" w:lineRule="exact"/>
        <w:ind w:firstLine="643" w:firstLineChars="200"/>
        <w:rPr>
          <w:rFonts w:ascii="仿宋_GB2312" w:hAnsi="宋体" w:eastAsia="仿宋_GB2312"/>
          <w:b/>
          <w:bCs/>
          <w:sz w:val="32"/>
          <w:szCs w:val="32"/>
        </w:rPr>
      </w:pPr>
      <w:r>
        <w:rPr>
          <w:rFonts w:hint="eastAsia" w:ascii="仿宋_GB2312" w:hAnsi="宋体" w:eastAsia="仿宋_GB2312"/>
          <w:b/>
          <w:bCs/>
          <w:sz w:val="32"/>
          <w:szCs w:val="32"/>
        </w:rPr>
        <w:t>卫生健康支出（类）行政事业单位医疗（款）：</w:t>
      </w:r>
    </w:p>
    <w:p>
      <w:pPr>
        <w:pBdr>
          <w:bottom w:val="single" w:color="FFFFFF" w:sz="4" w:space="30"/>
        </w:pBdr>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2021年财政拨款预算数4.27万元。行政单位医疗（项）</w:t>
      </w:r>
      <w:r>
        <w:rPr>
          <w:rFonts w:hint="eastAsia" w:ascii="仿宋_GB2312" w:hAnsi="宋体" w:eastAsia="仿宋_GB2312"/>
          <w:sz w:val="32"/>
          <w:szCs w:val="32"/>
          <w:lang w:val="en-US" w:eastAsia="zh-CN"/>
        </w:rPr>
        <w:t>4.27</w:t>
      </w:r>
      <w:r>
        <w:rPr>
          <w:rFonts w:hint="eastAsia" w:ascii="仿宋_GB2312" w:hAnsi="宋体" w:eastAsia="仿宋_GB2312"/>
          <w:sz w:val="32"/>
          <w:szCs w:val="32"/>
        </w:rPr>
        <w:t>万元主要用于讲师团机关人员的单位医疗保险支出。比2020年财政拨款预算</w:t>
      </w:r>
      <w:r>
        <w:rPr>
          <w:rFonts w:hint="eastAsia" w:ascii="仿宋_GB2312" w:hAnsi="宋体" w:eastAsia="仿宋_GB2312"/>
          <w:b/>
          <w:bCs/>
          <w:sz w:val="32"/>
          <w:szCs w:val="32"/>
        </w:rPr>
        <w:t>减少0.33</w:t>
      </w:r>
      <w:r>
        <w:rPr>
          <w:rFonts w:hint="eastAsia" w:ascii="仿宋_GB2312" w:hAnsi="宋体" w:eastAsia="仿宋_GB2312"/>
          <w:sz w:val="32"/>
          <w:szCs w:val="32"/>
        </w:rPr>
        <w:t>万元。</w:t>
      </w:r>
    </w:p>
    <w:p>
      <w:pPr>
        <w:numPr>
          <w:ilvl w:val="0"/>
          <w:numId w:val="5"/>
        </w:numPr>
        <w:pBdr>
          <w:bottom w:val="single" w:color="FFFFFF" w:sz="4" w:space="30"/>
        </w:pBdr>
        <w:snapToGrid w:val="0"/>
        <w:spacing w:line="58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住房保障支出（类）住房改革支出（款）：</w:t>
      </w:r>
    </w:p>
    <w:p>
      <w:pPr>
        <w:pBdr>
          <w:bottom w:val="single" w:color="FFFFFF" w:sz="4" w:space="30"/>
        </w:pBdr>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2021年财政拨款预算数为7.83万元，主要用于按照国家政策规定向职工发放的住房公积金。比2020年财政拨款预算</w:t>
      </w:r>
      <w:r>
        <w:rPr>
          <w:rFonts w:hint="eastAsia" w:ascii="仿宋_GB2312" w:hAnsi="宋体" w:eastAsia="仿宋_GB2312"/>
          <w:b/>
          <w:sz w:val="32"/>
          <w:szCs w:val="32"/>
        </w:rPr>
        <w:t>减少1.31</w:t>
      </w:r>
      <w:r>
        <w:rPr>
          <w:rFonts w:hint="eastAsia" w:ascii="仿宋_GB2312" w:hAnsi="宋体" w:eastAsia="仿宋_GB2312"/>
          <w:sz w:val="32"/>
          <w:szCs w:val="32"/>
        </w:rPr>
        <w:t>万元。</w:t>
      </w:r>
    </w:p>
    <w:p>
      <w:pPr>
        <w:pBdr>
          <w:bottom w:val="single" w:color="FFFFFF" w:sz="4" w:space="30"/>
        </w:pBdr>
        <w:snapToGrid w:val="0"/>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三、政府性基金预算拨款支出预算的情况说明</w:t>
      </w:r>
    </w:p>
    <w:p>
      <w:pPr>
        <w:pBdr>
          <w:bottom w:val="single" w:color="FFFFFF" w:sz="4" w:space="30"/>
        </w:pBdr>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我单位2021年无政府性基金预算拨款支出。</w:t>
      </w:r>
    </w:p>
    <w:p>
      <w:pPr>
        <w:numPr>
          <w:ilvl w:val="0"/>
          <w:numId w:val="6"/>
        </w:numPr>
        <w:pBdr>
          <w:bottom w:val="single" w:color="FFFFFF" w:sz="4" w:space="30"/>
        </w:pBdr>
        <w:snapToGrid w:val="0"/>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国有资本经营预算拨款支出预算的情况说明</w:t>
      </w:r>
    </w:p>
    <w:p>
      <w:pPr>
        <w:pBdr>
          <w:bottom w:val="single" w:color="FFFFFF" w:sz="4" w:space="30"/>
        </w:pBdr>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我单位2021年无国有资本经营预算拨款支出。</w:t>
      </w:r>
    </w:p>
    <w:p>
      <w:pPr>
        <w:numPr>
          <w:ilvl w:val="0"/>
          <w:numId w:val="6"/>
        </w:numPr>
        <w:pBdr>
          <w:bottom w:val="single" w:color="FFFFFF" w:sz="4" w:space="30"/>
        </w:pBdr>
        <w:snapToGrid w:val="0"/>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“三公经费”财政拨款支出预算的情况说明</w:t>
      </w:r>
    </w:p>
    <w:p>
      <w:pPr>
        <w:pBdr>
          <w:bottom w:val="single" w:color="FFFFFF" w:sz="4" w:space="30"/>
        </w:pBdr>
        <w:snapToGrid w:val="0"/>
        <w:spacing w:line="58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2021年度“三公经费”财政拨款支出预算数为3万元，比上年减少1.8万元，下降60%，占总支出的1.37%，其中因公出国（境)费本年预算数</w:t>
      </w:r>
      <w:r>
        <w:rPr>
          <w:rFonts w:ascii="仿宋_GB2312" w:hAnsi="宋体" w:eastAsia="仿宋_GB2312"/>
          <w:bCs/>
          <w:sz w:val="32"/>
          <w:szCs w:val="32"/>
        </w:rPr>
        <w:t>0</w:t>
      </w:r>
      <w:r>
        <w:rPr>
          <w:rFonts w:hint="eastAsia" w:ascii="仿宋_GB2312" w:hAnsi="宋体" w:eastAsia="仿宋_GB2312"/>
          <w:bCs/>
          <w:sz w:val="32"/>
          <w:szCs w:val="32"/>
        </w:rPr>
        <w:t>万元，与上年预算数持平。公务接待费本年预算数0.5 万元，与上年预算数减少0.8 万元。公务用车运行维护费预算 2.5元，均比2020年度减少1.0万元  。</w:t>
      </w:r>
      <w:r>
        <w:rPr>
          <w:rFonts w:hint="eastAsia" w:ascii="仿宋_GB2312" w:hAnsi="仿宋_GB2312" w:eastAsia="仿宋_GB2312" w:cs="仿宋_GB2312"/>
          <w:sz w:val="32"/>
          <w:szCs w:val="32"/>
        </w:rPr>
        <w:t>主要原因是按照中央“八项规定”要求，厉行节约，严格控制“三公”经费支出，无因公出国（境）团数和人数，压缩公务接待费和公务用车运行维护费, 故预算数相应减少。</w:t>
      </w:r>
      <w:r>
        <w:rPr>
          <w:rFonts w:hint="eastAsia" w:ascii="仿宋_GB2312" w:hAnsi="宋体" w:eastAsia="仿宋_GB2312"/>
          <w:bCs/>
          <w:sz w:val="32"/>
          <w:szCs w:val="32"/>
        </w:rPr>
        <w:t>其中：</w:t>
      </w:r>
    </w:p>
    <w:p>
      <w:pPr>
        <w:widowControl/>
        <w:spacing w:line="360" w:lineRule="auto"/>
        <w:ind w:firstLine="640" w:firstLineChars="200"/>
        <w:rPr>
          <w:rFonts w:hint="eastAsia" w:ascii="仿宋_GB2312" w:hAnsi="宋体" w:eastAsia="仿宋_GB2312"/>
          <w:bCs/>
          <w:sz w:val="32"/>
          <w:szCs w:val="32"/>
        </w:rPr>
      </w:pP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宋体" w:eastAsia="仿宋_GB2312"/>
          <w:bCs/>
          <w:sz w:val="32"/>
          <w:szCs w:val="32"/>
        </w:rPr>
        <w:t>1.因公出国（境）费预算为0万元，与上年持平；</w:t>
      </w:r>
    </w:p>
    <w:p>
      <w:pPr>
        <w:widowControl/>
        <w:spacing w:line="360" w:lineRule="auto"/>
        <w:ind w:firstLine="640" w:firstLineChars="200"/>
        <w:rPr>
          <w:rFonts w:hint="eastAsia" w:ascii="仿宋_GB2312" w:hAnsi="宋体" w:eastAsia="仿宋_GB2312"/>
          <w:bCs/>
          <w:sz w:val="32"/>
          <w:szCs w:val="32"/>
          <w:lang w:val="en-US" w:eastAsia="zh-CN"/>
        </w:rPr>
      </w:pPr>
      <w:r>
        <w:rPr>
          <w:rFonts w:hint="eastAsia" w:ascii="仿宋_GB2312" w:hAnsi="宋体" w:eastAsia="仿宋_GB2312"/>
          <w:bCs/>
          <w:sz w:val="32"/>
          <w:szCs w:val="32"/>
        </w:rPr>
        <w:t>2.公务接待费0.5万元，比上年预算数减少0.8万元，</w:t>
      </w:r>
      <w:r>
        <w:rPr>
          <w:rFonts w:hint="eastAsia" w:ascii="仿宋_GB2312" w:hAnsi="宋体" w:eastAsia="仿宋_GB2312"/>
          <w:bCs/>
          <w:sz w:val="32"/>
          <w:szCs w:val="32"/>
          <w:lang w:val="en-US" w:eastAsia="zh-CN"/>
        </w:rPr>
        <w:t>减少61</w:t>
      </w:r>
      <w:r>
        <w:rPr>
          <w:rFonts w:hint="eastAsia" w:ascii="仿宋_GB2312" w:hAnsi="宋体" w:eastAsia="仿宋_GB2312"/>
          <w:bCs/>
          <w:sz w:val="32"/>
          <w:szCs w:val="32"/>
        </w:rPr>
        <w:t xml:space="preserve"> %</w:t>
      </w:r>
      <w:r>
        <w:rPr>
          <w:rFonts w:hint="eastAsia" w:ascii="仿宋_GB2312" w:hAnsi="宋体" w:eastAsia="仿宋_GB2312"/>
          <w:bCs/>
          <w:sz w:val="32"/>
          <w:szCs w:val="32"/>
          <w:lang w:eastAsia="zh-CN"/>
        </w:rPr>
        <w:t>。</w:t>
      </w:r>
    </w:p>
    <w:p>
      <w:pPr>
        <w:widowControl/>
        <w:spacing w:line="360" w:lineRule="auto"/>
        <w:ind w:left="319" w:leftChars="152" w:firstLine="320" w:firstLineChars="100"/>
        <w:rPr>
          <w:rFonts w:ascii="仿宋_GB2312" w:hAnsi="仿宋_GB2312" w:eastAsia="仿宋_GB2312" w:cs="仿宋_GB2312"/>
          <w:sz w:val="32"/>
          <w:szCs w:val="32"/>
        </w:rPr>
      </w:pPr>
      <w:r>
        <w:rPr>
          <w:rFonts w:hint="eastAsia" w:ascii="仿宋_GB2312" w:hAnsi="宋体" w:eastAsia="仿宋_GB2312"/>
          <w:bCs/>
          <w:sz w:val="32"/>
          <w:szCs w:val="32"/>
        </w:rPr>
        <w:t>3.公务用车运行维护费预算2.5万元，比上年预算数减少1.0万元。</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按照自治区公车改革的有关要求，市委讲师团全部门保留公务用车1辆。其中：市委讲师团机关（本级）保留公务用车1辆，包括机要通信应急车辆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辆、应急保障车辆0辆、离退休干部生活用车0辆、正厅级实物保障用车0辆。参加车改的参公单位保留应急保障车辆0辆，未车改的事业单位保有公务用车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p>
    <w:p>
      <w:pPr>
        <w:pBdr>
          <w:bottom w:val="single" w:color="FFFFFF" w:sz="4" w:space="30"/>
        </w:pBdr>
        <w:snapToGrid w:val="0"/>
        <w:spacing w:line="580" w:lineRule="exact"/>
        <w:rPr>
          <w:rFonts w:ascii="黑体" w:hAnsi="黑体" w:eastAsia="黑体" w:cs="黑体"/>
          <w:bCs/>
          <w:sz w:val="32"/>
          <w:szCs w:val="32"/>
        </w:rPr>
      </w:pPr>
    </w:p>
    <w:p>
      <w:pPr>
        <w:jc w:val="center"/>
        <w:rPr>
          <w:rFonts w:ascii="仿宋_GB2312" w:hAnsi="宋体" w:eastAsia="仿宋_GB2312"/>
          <w:sz w:val="32"/>
          <w:szCs w:val="32"/>
        </w:rPr>
      </w:pPr>
    </w:p>
    <w:p>
      <w:pPr>
        <w:jc w:val="center"/>
        <w:rPr>
          <w:rFonts w:ascii="仿宋_GB2312" w:hAnsi="宋体" w:eastAsia="仿宋_GB2312"/>
          <w:sz w:val="32"/>
          <w:szCs w:val="32"/>
        </w:rPr>
      </w:pPr>
    </w:p>
    <w:p>
      <w:pPr>
        <w:jc w:val="center"/>
        <w:rPr>
          <w:rFonts w:ascii="仿宋_GB2312" w:hAnsi="宋体" w:eastAsia="仿宋_GB2312"/>
          <w:sz w:val="32"/>
          <w:szCs w:val="32"/>
        </w:rPr>
      </w:pPr>
    </w:p>
    <w:p>
      <w:pPr>
        <w:rPr>
          <w:rFonts w:ascii="仿宋_GB2312" w:hAnsi="宋体" w:eastAsia="仿宋_GB2312"/>
          <w:sz w:val="32"/>
          <w:szCs w:val="32"/>
        </w:rPr>
      </w:pPr>
    </w:p>
    <w:p>
      <w:pPr>
        <w:jc w:val="center"/>
        <w:rPr>
          <w:rFonts w:ascii="仿宋_GB2312" w:hAnsi="宋体" w:eastAsia="仿宋_GB2312"/>
          <w:sz w:val="32"/>
          <w:szCs w:val="32"/>
        </w:rPr>
      </w:pPr>
    </w:p>
    <w:p>
      <w:pPr>
        <w:jc w:val="cente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 xml:space="preserve">第三部分  </w:t>
      </w: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包头市委讲师团</w:t>
      </w: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其他公开事项说明</w:t>
      </w: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rPr>
          <w:rFonts w:ascii="方正小标宋简体" w:hAnsi="宋体" w:eastAsia="方正小标宋简体"/>
          <w:bCs/>
          <w:sz w:val="32"/>
          <w:szCs w:val="32"/>
        </w:rPr>
      </w:pPr>
    </w:p>
    <w:p>
      <w:pPr>
        <w:rPr>
          <w:rFonts w:ascii="方正小标宋简体" w:hAnsi="宋体" w:eastAsia="方正小标宋简体"/>
          <w:bCs/>
          <w:sz w:val="32"/>
          <w:szCs w:val="32"/>
        </w:rPr>
      </w:pPr>
    </w:p>
    <w:p>
      <w:pPr>
        <w:numPr>
          <w:ilvl w:val="0"/>
          <w:numId w:val="7"/>
        </w:numPr>
        <w:spacing w:beforeLines="50" w:afterLines="50"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机关运行经费安排情况说明</w:t>
      </w:r>
    </w:p>
    <w:p>
      <w:pPr>
        <w:pBdr>
          <w:bottom w:val="single" w:color="FFFFFF" w:sz="4" w:space="30"/>
        </w:pBd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头市委讲师团专项经费。项目内容主要是重大主题宣讲专项经费、包头微学习平台建设运行经费、学习讲堂建设及编辑出版《宣讲参考》理论期刊专项经费、“学习强国”平台建设运营经费。预计支出105万元。劳务费26.5万元，其他交通费用1万元，公务接待费0.5 万元、差旅费1.5万元、印刷费4.0万元、培训费2.0万元、委托业务费68万元、办公经费1.5万元。</w:t>
      </w:r>
    </w:p>
    <w:p>
      <w:pPr>
        <w:numPr>
          <w:ilvl w:val="0"/>
          <w:numId w:val="7"/>
        </w:numPr>
        <w:pBdr>
          <w:bottom w:val="single" w:color="FFFFFF" w:sz="4" w:space="30"/>
        </w:pBdr>
        <w:snapToGrid w:val="0"/>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“政府采购计划”预算情况说明</w:t>
      </w:r>
    </w:p>
    <w:p>
      <w:pPr>
        <w:pBdr>
          <w:bottom w:val="single" w:color="FFFFFF" w:sz="4" w:space="30"/>
        </w:pBdr>
        <w:snapToGrid w:val="0"/>
        <w:spacing w:line="580" w:lineRule="exact"/>
        <w:ind w:firstLine="640" w:firstLineChars="200"/>
        <w:rPr>
          <w:rFonts w:ascii="黑体" w:hAnsi="黑体" w:eastAsia="黑体" w:cs="黑体"/>
          <w:bCs/>
          <w:sz w:val="32"/>
          <w:szCs w:val="32"/>
        </w:rPr>
      </w:pPr>
      <w:r>
        <w:rPr>
          <w:rFonts w:hint="eastAsia" w:ascii="仿宋_GB2312" w:hAnsi="仿宋" w:eastAsia="仿宋_GB2312"/>
          <w:sz w:val="32"/>
        </w:rPr>
        <w:t>2021年共编制政府采购预算75万元。其中政府采购预算75万元；</w:t>
      </w:r>
      <w:r>
        <w:rPr>
          <w:rFonts w:hint="eastAsia" w:ascii="仿宋_GB2312" w:hAnsi="仿宋" w:eastAsia="仿宋_GB2312"/>
          <w:b/>
          <w:sz w:val="32"/>
        </w:rPr>
        <w:t>工程类</w:t>
      </w:r>
      <w:r>
        <w:rPr>
          <w:rFonts w:hint="eastAsia" w:ascii="仿宋_GB2312" w:hAnsi="仿宋" w:eastAsia="仿宋_GB2312"/>
          <w:sz w:val="32"/>
        </w:rPr>
        <w:t>政府采购预算为0万元；</w:t>
      </w:r>
      <w:r>
        <w:rPr>
          <w:rFonts w:hint="eastAsia" w:ascii="仿宋_GB2312" w:hAnsi="楷体_GB2312" w:eastAsia="仿宋_GB2312" w:cs="楷体_GB2312"/>
          <w:b/>
          <w:bCs/>
          <w:sz w:val="32"/>
        </w:rPr>
        <w:t>服务类</w:t>
      </w:r>
      <w:r>
        <w:rPr>
          <w:rFonts w:hint="eastAsia" w:ascii="仿宋_GB2312" w:hAnsi="仿宋" w:eastAsia="仿宋_GB2312"/>
          <w:sz w:val="32"/>
        </w:rPr>
        <w:t>政府采购预算75万元。涵盖“计算机设备及软件”、“办公设备”、“家具用具”、“纸制品及印刷品”、“信息技术服务”、“运行维护服务”等采购大类，资金来源为财政拨款。</w:t>
      </w:r>
    </w:p>
    <w:p>
      <w:pPr>
        <w:numPr>
          <w:ilvl w:val="0"/>
          <w:numId w:val="7"/>
        </w:numPr>
        <w:pBdr>
          <w:bottom w:val="single" w:color="FFFFFF" w:sz="4" w:space="30"/>
        </w:pBdr>
        <w:snapToGrid w:val="0"/>
        <w:spacing w:beforeLines="50"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国有资产占有使用和增量情况说明</w:t>
      </w:r>
    </w:p>
    <w:p>
      <w:pPr>
        <w:pBdr>
          <w:bottom w:val="single" w:color="FFFFFF" w:sz="4" w:space="30"/>
        </w:pBdr>
        <w:snapToGrid w:val="0"/>
        <w:spacing w:beforeLines="50" w:line="580" w:lineRule="exact"/>
        <w:rPr>
          <w:rFonts w:ascii="仿宋_GB2312" w:hAnsi="仿宋" w:eastAsia="仿宋_GB2312"/>
          <w:sz w:val="32"/>
        </w:rPr>
      </w:pPr>
      <w:r>
        <w:rPr>
          <w:rFonts w:hint="eastAsia" w:ascii="黑体" w:hAnsi="黑体" w:eastAsia="黑体" w:cs="黑体"/>
          <w:bCs/>
          <w:sz w:val="32"/>
          <w:szCs w:val="32"/>
        </w:rPr>
        <w:t xml:space="preserve">  </w:t>
      </w:r>
      <w:r>
        <w:rPr>
          <w:rFonts w:hint="eastAsia" w:ascii="仿宋_GB2312" w:hAnsi="仿宋" w:eastAsia="仿宋_GB2312"/>
          <w:sz w:val="32"/>
        </w:rPr>
        <w:t xml:space="preserve"> 我单位无国有资产占有使用和增量情况</w:t>
      </w:r>
    </w:p>
    <w:p>
      <w:pPr>
        <w:numPr>
          <w:ilvl w:val="0"/>
          <w:numId w:val="8"/>
        </w:numPr>
        <w:pBdr>
          <w:bottom w:val="single" w:color="FFFFFF" w:sz="4" w:space="30"/>
        </w:pBdr>
        <w:snapToGrid w:val="0"/>
        <w:spacing w:beforeLines="50" w:afterLines="50"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部门组织征收收入计划</w:t>
      </w:r>
    </w:p>
    <w:p>
      <w:pPr>
        <w:pBdr>
          <w:bottom w:val="single" w:color="FFFFFF" w:sz="4" w:space="30"/>
        </w:pBdr>
        <w:snapToGrid w:val="0"/>
        <w:spacing w:beforeLines="50" w:afterLines="50" w:line="580" w:lineRule="exact"/>
        <w:ind w:firstLine="640" w:firstLineChars="200"/>
        <w:rPr>
          <w:rFonts w:ascii="仿宋_GB2312" w:hAnsi="仿宋" w:eastAsia="仿宋_GB2312" w:cs="仿宋"/>
          <w:bCs/>
          <w:sz w:val="32"/>
          <w:szCs w:val="32"/>
          <w:highlight w:val="yellow"/>
        </w:rPr>
      </w:pPr>
      <w:r>
        <w:rPr>
          <w:rFonts w:hint="eastAsia" w:ascii="仿宋_GB2312" w:hAnsi="仿宋" w:eastAsia="仿宋_GB2312"/>
          <w:sz w:val="32"/>
        </w:rPr>
        <w:t>我单位无部门组织征收收入计划</w:t>
      </w:r>
    </w:p>
    <w:p>
      <w:pPr>
        <w:numPr>
          <w:ilvl w:val="0"/>
          <w:numId w:val="8"/>
        </w:numPr>
        <w:pBdr>
          <w:bottom w:val="single" w:color="FFFFFF" w:sz="4" w:space="30"/>
        </w:pBdr>
        <w:snapToGrid w:val="0"/>
        <w:spacing w:beforeLines="50" w:afterLines="50"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绩效目标设置情况说明</w:t>
      </w:r>
    </w:p>
    <w:p>
      <w:pPr>
        <w:pBdr>
          <w:bottom w:val="single" w:color="FFFFFF" w:sz="4" w:space="30"/>
        </w:pBdr>
        <w:snapToGrid w:val="0"/>
        <w:spacing w:beforeLines="50" w:afterLines="50" w:line="580" w:lineRule="exact"/>
        <w:rPr>
          <w:rFonts w:ascii="黑体" w:hAnsi="黑体" w:eastAsia="黑体" w:cs="黑体"/>
          <w:bCs/>
          <w:sz w:val="32"/>
          <w:szCs w:val="32"/>
        </w:rPr>
      </w:pPr>
      <w:r>
        <w:rPr>
          <w:rFonts w:hint="eastAsia" w:ascii="黑体" w:hAnsi="黑体" w:eastAsia="黑体" w:cs="黑体"/>
          <w:bCs/>
          <w:sz w:val="32"/>
          <w:szCs w:val="32"/>
        </w:rPr>
        <w:t xml:space="preserve">  </w:t>
      </w:r>
      <w:r>
        <w:rPr>
          <w:rFonts w:hint="eastAsia" w:ascii="仿宋_GB2312" w:hAnsi="仿宋" w:eastAsia="仿宋_GB2312" w:cs="仿宋"/>
          <w:bCs/>
          <w:sz w:val="32"/>
          <w:szCs w:val="32"/>
        </w:rPr>
        <w:t>根据部门预算编制要求，对重点项目预算的绩效目标进行设置。2021年，我</w:t>
      </w:r>
      <w:r>
        <w:rPr>
          <w:rFonts w:hint="eastAsia" w:ascii="仿宋_GB2312" w:hAnsi="仿宋" w:eastAsia="仿宋_GB2312" w:cs="仿宋"/>
          <w:bCs/>
          <w:sz w:val="32"/>
          <w:szCs w:val="32"/>
          <w:lang w:val="en-US" w:eastAsia="zh-CN"/>
        </w:rPr>
        <w:t>单位</w:t>
      </w:r>
      <w:r>
        <w:rPr>
          <w:rFonts w:hint="eastAsia" w:ascii="仿宋_GB2312" w:hAnsi="仿宋" w:eastAsia="仿宋_GB2312" w:cs="仿宋"/>
          <w:bCs/>
          <w:sz w:val="32"/>
          <w:szCs w:val="32"/>
        </w:rPr>
        <w:t>对共计</w:t>
      </w:r>
      <w:r>
        <w:rPr>
          <w:rFonts w:hint="eastAsia" w:ascii="仿宋_GB2312" w:hAnsi="仿宋" w:eastAsia="仿宋_GB2312" w:cs="仿宋"/>
          <w:bCs/>
          <w:sz w:val="32"/>
          <w:szCs w:val="32"/>
          <w:lang w:val="en-US" w:eastAsia="zh-CN"/>
        </w:rPr>
        <w:t>4</w:t>
      </w:r>
      <w:r>
        <w:rPr>
          <w:rFonts w:hint="eastAsia" w:ascii="仿宋_GB2312" w:hAnsi="仿宋" w:eastAsia="仿宋_GB2312" w:cs="仿宋"/>
          <w:bCs/>
          <w:sz w:val="32"/>
          <w:szCs w:val="32"/>
        </w:rPr>
        <w:t xml:space="preserve">个预算项目设置绩效目标，从预算执行、产出、效益、满意度等多方面对预算项目进行综合绩效管理。设计项目绩效指标，一级指标中：产出指标，效益指标，满意度指标。二级指标中：数量指标，质量指标，时效指标，成本指标，经济效益指标，社会效益指标，服务对象满意度指标，包括预算单位满意度等。 </w:t>
      </w: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jc w:val="center"/>
        <w:rPr>
          <w:rFonts w:ascii="黑体" w:hAnsi="黑体" w:eastAsia="黑体"/>
          <w:b/>
          <w:sz w:val="36"/>
          <w:szCs w:val="36"/>
        </w:rPr>
      </w:pPr>
      <w:r>
        <w:rPr>
          <w:rFonts w:hint="eastAsia" w:ascii="黑体" w:hAnsi="黑体" w:eastAsia="黑体"/>
          <w:b/>
          <w:sz w:val="36"/>
          <w:szCs w:val="36"/>
        </w:rPr>
        <w:t>第四部分</w:t>
      </w:r>
    </w:p>
    <w:p>
      <w:pPr>
        <w:jc w:val="center"/>
        <w:rPr>
          <w:rFonts w:ascii="黑体" w:hAnsi="黑体" w:eastAsia="黑体"/>
          <w:b/>
          <w:sz w:val="36"/>
          <w:szCs w:val="36"/>
        </w:rPr>
      </w:pPr>
    </w:p>
    <w:p>
      <w:pPr>
        <w:jc w:val="center"/>
        <w:rPr>
          <w:rFonts w:ascii="黑体" w:hAnsi="黑体" w:eastAsia="黑体"/>
          <w:b/>
          <w:sz w:val="36"/>
          <w:szCs w:val="36"/>
        </w:rPr>
      </w:pPr>
      <w:r>
        <w:rPr>
          <w:rFonts w:hint="eastAsia" w:ascii="黑体" w:hAnsi="黑体" w:eastAsia="黑体"/>
          <w:b/>
          <w:sz w:val="36"/>
          <w:szCs w:val="36"/>
        </w:rPr>
        <w:t>名词解释</w:t>
      </w: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b/>
          <w:sz w:val="32"/>
          <w:szCs w:val="32"/>
        </w:rPr>
      </w:pPr>
    </w:p>
    <w:p>
      <w:pPr>
        <w:ind w:firstLine="643" w:firstLineChars="200"/>
        <w:rPr>
          <w:rFonts w:ascii="仿宋_GB2312" w:hAnsi="宋体" w:eastAsia="仿宋_GB2312"/>
          <w:sz w:val="32"/>
          <w:szCs w:val="32"/>
        </w:rPr>
      </w:pPr>
      <w:r>
        <w:rPr>
          <w:rFonts w:hint="eastAsia" w:ascii="仿宋_GB2312" w:hAnsi="宋体" w:eastAsia="仿宋_GB2312"/>
          <w:b/>
          <w:sz w:val="32"/>
          <w:szCs w:val="32"/>
        </w:rPr>
        <w:t>一、一般公共预算拨款收入：</w:t>
      </w:r>
      <w:r>
        <w:rPr>
          <w:rFonts w:hint="eastAsia" w:ascii="仿宋_GB2312" w:hAnsi="宋体" w:eastAsia="仿宋_GB2312"/>
          <w:sz w:val="32"/>
          <w:szCs w:val="32"/>
        </w:rPr>
        <w:t>指自治区财政当年拨付的资金。</w:t>
      </w:r>
    </w:p>
    <w:p>
      <w:pPr>
        <w:ind w:firstLine="643" w:firstLineChars="200"/>
        <w:rPr>
          <w:rFonts w:ascii="仿宋_GB2312" w:hAnsi="宋体" w:eastAsia="仿宋_GB2312"/>
          <w:sz w:val="32"/>
          <w:szCs w:val="32"/>
        </w:rPr>
      </w:pPr>
      <w:r>
        <w:rPr>
          <w:rFonts w:hint="eastAsia" w:ascii="仿宋_GB2312" w:hAnsi="宋体" w:eastAsia="仿宋_GB2312"/>
          <w:b/>
          <w:sz w:val="32"/>
          <w:szCs w:val="32"/>
        </w:rPr>
        <w:t>二、事业收入：</w:t>
      </w:r>
      <w:r>
        <w:rPr>
          <w:rFonts w:hint="eastAsia" w:ascii="仿宋_GB2312" w:hAnsi="宋体" w:eastAsia="仿宋_GB2312"/>
          <w:sz w:val="32"/>
          <w:szCs w:val="32"/>
        </w:rPr>
        <w:t>指事业单位开展专业业务活动及辅助活动所取得的收入。</w:t>
      </w:r>
    </w:p>
    <w:p>
      <w:pPr>
        <w:ind w:firstLine="643" w:firstLineChars="200"/>
        <w:rPr>
          <w:rFonts w:ascii="仿宋_GB2312" w:hAnsi="宋体" w:eastAsia="仿宋_GB2312"/>
          <w:sz w:val="32"/>
          <w:szCs w:val="32"/>
        </w:rPr>
      </w:pPr>
      <w:r>
        <w:rPr>
          <w:rFonts w:hint="eastAsia" w:ascii="仿宋_GB2312" w:hAnsi="宋体" w:eastAsia="仿宋_GB2312"/>
          <w:b/>
          <w:sz w:val="32"/>
          <w:szCs w:val="32"/>
        </w:rPr>
        <w:t>三、事业单位经营收入：</w:t>
      </w:r>
      <w:r>
        <w:rPr>
          <w:rFonts w:hint="eastAsia" w:ascii="仿宋_GB2312" w:hAnsi="宋体" w:eastAsia="仿宋_GB2312"/>
          <w:sz w:val="32"/>
          <w:szCs w:val="32"/>
        </w:rPr>
        <w:t>指事业单位在专业业务活动及其辅助活动之外开展非独立核算经营活动取得的收入。</w:t>
      </w:r>
    </w:p>
    <w:p>
      <w:pPr>
        <w:ind w:firstLine="643" w:firstLineChars="200"/>
        <w:rPr>
          <w:rFonts w:ascii="仿宋_GB2312" w:hAnsi="宋体" w:eastAsia="仿宋_GB2312"/>
          <w:sz w:val="32"/>
          <w:szCs w:val="32"/>
        </w:rPr>
      </w:pPr>
      <w:r>
        <w:rPr>
          <w:rFonts w:hint="eastAsia" w:ascii="仿宋_GB2312" w:hAnsi="宋体" w:eastAsia="仿宋_GB2312"/>
          <w:b/>
          <w:sz w:val="32"/>
          <w:szCs w:val="32"/>
        </w:rPr>
        <w:t>四、其他收入：</w:t>
      </w:r>
      <w:r>
        <w:rPr>
          <w:rFonts w:hint="eastAsia" w:ascii="仿宋_GB2312" w:hAnsi="宋体" w:eastAsia="仿宋_GB2312"/>
          <w:sz w:val="32"/>
          <w:szCs w:val="32"/>
        </w:rPr>
        <w:t>指除上述“财政拨款收入”、“事业收入”、“事业单位经营收入”等以外的收入。主要是按规定动用的售房收入、存款利息收入等。</w:t>
      </w:r>
    </w:p>
    <w:p>
      <w:pPr>
        <w:ind w:firstLine="643" w:firstLineChars="200"/>
        <w:rPr>
          <w:rFonts w:ascii="仿宋_GB2312" w:hAnsi="宋体" w:eastAsia="仿宋_GB2312"/>
          <w:sz w:val="32"/>
          <w:szCs w:val="32"/>
        </w:rPr>
      </w:pPr>
      <w:r>
        <w:rPr>
          <w:rFonts w:hint="eastAsia" w:ascii="仿宋_GB2312" w:hAnsi="宋体" w:eastAsia="仿宋_GB2312"/>
          <w:b/>
          <w:sz w:val="32"/>
          <w:szCs w:val="32"/>
        </w:rPr>
        <w:t>五、用事业基金弥补收支差额：</w:t>
      </w:r>
      <w:r>
        <w:rPr>
          <w:rFonts w:hint="eastAsia" w:ascii="仿宋_GB2312" w:hAnsi="宋体" w:eastAsia="仿宋_GB2312"/>
          <w:sz w:val="32"/>
          <w:szCs w:val="32"/>
        </w:rPr>
        <w:t>指事业单位在预计用当年的“财政拨款收入”、“财政拨款结转和结余资金”、“事业收入”、“事业单位经营收入”、“其他收入”不足以安排当年支出的情况下，使用以前年度积累的事业基金（事业单位当年收支相抵后按国家规定提取、用于弥补以后年度收支差额的基金）弥补本年度收支缺口的资金。</w:t>
      </w:r>
    </w:p>
    <w:p>
      <w:pPr>
        <w:ind w:firstLine="643" w:firstLineChars="200"/>
        <w:rPr>
          <w:rFonts w:ascii="仿宋_GB2312" w:hAnsi="宋体" w:eastAsia="仿宋_GB2312"/>
          <w:sz w:val="32"/>
          <w:szCs w:val="32"/>
        </w:rPr>
      </w:pPr>
      <w:r>
        <w:rPr>
          <w:rFonts w:hint="eastAsia" w:ascii="仿宋_GB2312" w:hAnsi="宋体" w:eastAsia="仿宋_GB2312"/>
          <w:b/>
          <w:sz w:val="32"/>
          <w:szCs w:val="32"/>
        </w:rPr>
        <w:t>六、上年结转：</w:t>
      </w:r>
      <w:r>
        <w:rPr>
          <w:rFonts w:hint="eastAsia" w:ascii="仿宋_GB2312" w:hAnsi="宋体" w:eastAsia="仿宋_GB2312"/>
          <w:sz w:val="32"/>
          <w:szCs w:val="32"/>
        </w:rPr>
        <w:t>指以前年度尚未完成、结转到本年仍按原规定用途继续使用的资金。</w:t>
      </w:r>
    </w:p>
    <w:p>
      <w:pPr>
        <w:ind w:firstLine="643" w:firstLineChars="200"/>
        <w:rPr>
          <w:rFonts w:ascii="仿宋_GB2312" w:hAnsi="宋体" w:eastAsia="仿宋_GB2312"/>
          <w:sz w:val="32"/>
          <w:szCs w:val="32"/>
        </w:rPr>
      </w:pPr>
      <w:r>
        <w:rPr>
          <w:rFonts w:hint="eastAsia" w:ascii="仿宋_GB2312" w:hAnsi="宋体" w:eastAsia="仿宋_GB2312"/>
          <w:b/>
          <w:sz w:val="32"/>
          <w:szCs w:val="32"/>
        </w:rPr>
        <w:t>七、一般公共服务（类）财政事务（款）：</w:t>
      </w:r>
      <w:r>
        <w:rPr>
          <w:rFonts w:hint="eastAsia" w:ascii="仿宋_GB2312" w:hAnsi="宋体" w:eastAsia="仿宋_GB2312"/>
          <w:sz w:val="32"/>
          <w:szCs w:val="32"/>
        </w:rPr>
        <w:t>指财政厅用于保障机构正常运行、开展财政管理活动的支出。</w:t>
      </w:r>
    </w:p>
    <w:p>
      <w:pPr>
        <w:ind w:firstLine="643" w:firstLineChars="200"/>
        <w:rPr>
          <w:rFonts w:ascii="仿宋_GB2312" w:hAnsi="宋体" w:eastAsia="仿宋_GB2312"/>
          <w:sz w:val="32"/>
          <w:szCs w:val="32"/>
        </w:rPr>
      </w:pPr>
      <w:r>
        <w:rPr>
          <w:rFonts w:hint="eastAsia" w:ascii="仿宋_GB2312" w:hAnsi="宋体" w:eastAsia="仿宋_GB2312"/>
          <w:b/>
          <w:sz w:val="32"/>
          <w:szCs w:val="32"/>
        </w:rPr>
        <w:t>八、社会保障和就业支出（类）行政事业单位养老支出（款）：</w:t>
      </w:r>
      <w:r>
        <w:rPr>
          <w:rFonts w:hint="eastAsia" w:ascii="仿宋_GB2312" w:hAnsi="宋体" w:eastAsia="仿宋_GB2312"/>
          <w:sz w:val="32"/>
          <w:szCs w:val="32"/>
        </w:rPr>
        <w:t>指财政厅机关及厅属事业单位按照国家政策规定用于养老方面的支出。</w:t>
      </w:r>
    </w:p>
    <w:p>
      <w:pPr>
        <w:ind w:firstLine="643" w:firstLineChars="200"/>
        <w:rPr>
          <w:rFonts w:ascii="仿宋_GB2312" w:hAnsi="宋体" w:eastAsia="仿宋_GB2312"/>
          <w:sz w:val="32"/>
          <w:szCs w:val="32"/>
        </w:rPr>
      </w:pPr>
      <w:r>
        <w:rPr>
          <w:rFonts w:hint="eastAsia" w:ascii="仿宋_GB2312" w:hAnsi="宋体" w:eastAsia="仿宋_GB2312"/>
          <w:b/>
          <w:sz w:val="32"/>
          <w:szCs w:val="32"/>
        </w:rPr>
        <w:t>九、住房保障支出（类）住房改革支出（款）：</w:t>
      </w:r>
      <w:r>
        <w:rPr>
          <w:rFonts w:hint="eastAsia" w:ascii="仿宋_GB2312" w:hAnsi="宋体" w:eastAsia="仿宋_GB2312"/>
          <w:sz w:val="32"/>
          <w:szCs w:val="32"/>
        </w:rPr>
        <w:t>指财政厅机关及厅属事业单位按照国家政策规定用于住房改革方面的支出。</w:t>
      </w:r>
    </w:p>
    <w:p>
      <w:pPr>
        <w:ind w:firstLine="643" w:firstLineChars="200"/>
        <w:rPr>
          <w:rFonts w:ascii="仿宋_GB2312" w:hAnsi="宋体" w:eastAsia="仿宋_GB2312"/>
          <w:sz w:val="32"/>
          <w:szCs w:val="32"/>
        </w:rPr>
      </w:pPr>
      <w:r>
        <w:rPr>
          <w:rFonts w:hint="eastAsia" w:ascii="仿宋_GB2312" w:hAnsi="宋体" w:eastAsia="仿宋_GB2312"/>
          <w:b/>
          <w:sz w:val="32"/>
          <w:szCs w:val="32"/>
        </w:rPr>
        <w:t>十、卫生健康支出（类）行政事业单位医疗（款）：</w:t>
      </w:r>
      <w:r>
        <w:rPr>
          <w:rFonts w:hint="eastAsia" w:ascii="仿宋_GB2312" w:hAnsi="宋体" w:eastAsia="仿宋_GB2312"/>
          <w:sz w:val="32"/>
          <w:szCs w:val="32"/>
        </w:rPr>
        <w:t>指财政厅机关及厅属事业单位按照国家政策规定用于医疗方面的支出。</w:t>
      </w:r>
    </w:p>
    <w:p>
      <w:pPr>
        <w:ind w:firstLine="643" w:firstLineChars="200"/>
        <w:rPr>
          <w:rFonts w:ascii="仿宋_GB2312" w:hAnsi="宋体" w:eastAsia="仿宋_GB2312"/>
          <w:sz w:val="32"/>
          <w:szCs w:val="32"/>
        </w:rPr>
      </w:pPr>
      <w:r>
        <w:rPr>
          <w:rFonts w:hint="eastAsia" w:ascii="仿宋_GB2312" w:hAnsi="宋体" w:eastAsia="仿宋_GB2312"/>
          <w:b/>
          <w:sz w:val="32"/>
          <w:szCs w:val="32"/>
        </w:rPr>
        <w:t>十一、住房公积金：</w:t>
      </w:r>
      <w:r>
        <w:rPr>
          <w:rFonts w:hint="eastAsia" w:ascii="仿宋_GB2312" w:hAnsi="宋体" w:eastAsia="仿宋_GB2312"/>
          <w:sz w:val="32"/>
          <w:szCs w:val="32"/>
        </w:rPr>
        <w:t>指按照国家统一规定，按规定比例为职工缴纳的住房公积金。</w:t>
      </w:r>
    </w:p>
    <w:p>
      <w:pPr>
        <w:ind w:firstLine="643" w:firstLineChars="200"/>
        <w:rPr>
          <w:rFonts w:ascii="仿宋_GB2312" w:hAnsi="宋体" w:eastAsia="仿宋_GB2312"/>
          <w:sz w:val="32"/>
          <w:szCs w:val="32"/>
        </w:rPr>
      </w:pPr>
      <w:r>
        <w:rPr>
          <w:rFonts w:hint="eastAsia" w:ascii="仿宋_GB2312" w:hAnsi="宋体" w:eastAsia="仿宋_GB2312"/>
          <w:b/>
          <w:sz w:val="32"/>
          <w:szCs w:val="32"/>
        </w:rPr>
        <w:t>十二、结转下年：</w:t>
      </w:r>
      <w:r>
        <w:rPr>
          <w:rFonts w:hint="eastAsia" w:ascii="仿宋_GB2312" w:hAnsi="宋体" w:eastAsia="仿宋_GB2312"/>
          <w:sz w:val="32"/>
          <w:szCs w:val="32"/>
        </w:rPr>
        <w:t>指以前年度预算安排、因客观条件发生变化无法按原计划实施，需延迟到以后年度按原规定用途继续使用的资金。</w:t>
      </w:r>
    </w:p>
    <w:p>
      <w:pPr>
        <w:ind w:firstLine="643" w:firstLineChars="200"/>
        <w:rPr>
          <w:rFonts w:ascii="仿宋_GB2312" w:hAnsi="宋体" w:eastAsia="仿宋_GB2312"/>
          <w:sz w:val="32"/>
          <w:szCs w:val="32"/>
        </w:rPr>
      </w:pPr>
      <w:r>
        <w:rPr>
          <w:rFonts w:hint="eastAsia" w:ascii="仿宋_GB2312" w:hAnsi="宋体" w:eastAsia="仿宋_GB2312"/>
          <w:b/>
          <w:sz w:val="32"/>
          <w:szCs w:val="32"/>
        </w:rPr>
        <w:t>十三、基本支出：</w:t>
      </w:r>
      <w:r>
        <w:rPr>
          <w:rFonts w:hint="eastAsia" w:ascii="仿宋_GB2312" w:hAnsi="宋体" w:eastAsia="仿宋_GB2312"/>
          <w:sz w:val="32"/>
          <w:szCs w:val="32"/>
        </w:rPr>
        <w:t>指为保障机构正常运转、完成日常工作任务而发生的人员支出和公用支出。</w:t>
      </w:r>
    </w:p>
    <w:p>
      <w:pPr>
        <w:ind w:firstLine="643" w:firstLineChars="200"/>
        <w:rPr>
          <w:rFonts w:ascii="仿宋_GB2312" w:hAnsi="宋体" w:eastAsia="仿宋_GB2312"/>
          <w:sz w:val="32"/>
          <w:szCs w:val="32"/>
        </w:rPr>
      </w:pPr>
      <w:r>
        <w:rPr>
          <w:rFonts w:hint="eastAsia" w:ascii="仿宋_GB2312" w:hAnsi="宋体" w:eastAsia="仿宋_GB2312"/>
          <w:b/>
          <w:sz w:val="32"/>
          <w:szCs w:val="32"/>
        </w:rPr>
        <w:t>十四、项目支出：</w:t>
      </w:r>
      <w:r>
        <w:rPr>
          <w:rFonts w:hint="eastAsia" w:ascii="仿宋_GB2312" w:hAnsi="宋体" w:eastAsia="仿宋_GB2312"/>
          <w:sz w:val="32"/>
          <w:szCs w:val="32"/>
        </w:rPr>
        <w:t>指在基本支出之外为完成特定行政任务和事业发展目标所发生的支出。</w:t>
      </w:r>
    </w:p>
    <w:p>
      <w:pPr>
        <w:snapToGrid w:val="0"/>
        <w:spacing w:line="560" w:lineRule="exact"/>
        <w:ind w:firstLine="645"/>
        <w:rPr>
          <w:rFonts w:ascii="仿宋_GB2312" w:eastAsia="仿宋_GB2312"/>
          <w:sz w:val="32"/>
          <w:szCs w:val="32"/>
        </w:rPr>
      </w:pPr>
      <w:r>
        <w:rPr>
          <w:rFonts w:hint="eastAsia" w:ascii="仿宋_GB2312" w:hAnsi="宋体" w:eastAsia="仿宋_GB2312"/>
          <w:b/>
          <w:color w:val="000000"/>
          <w:sz w:val="32"/>
          <w:szCs w:val="32"/>
        </w:rPr>
        <w:t>十五、“三公”经费：</w:t>
      </w:r>
      <w:r>
        <w:rPr>
          <w:rFonts w:hint="eastAsia" w:ascii="仿宋_GB2312" w:eastAsia="仿宋_GB2312"/>
          <w:sz w:val="32"/>
          <w:szCs w:val="32"/>
        </w:rPr>
        <w:t>纳入财政预决算管理的“三公”经费，是指部门用财政拨款安排的因公出国（境）费、公务用车购置及运行费和公务接待费。</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十六、机关运行经费：</w:t>
      </w:r>
      <w:r>
        <w:rPr>
          <w:rFonts w:hint="eastAsia" w:ascii="仿宋_GB2312" w:eastAsia="仿宋_GB2312"/>
          <w:sz w:val="32"/>
          <w:szCs w:val="32"/>
        </w:rPr>
        <w:t>是指各部门的公用经费，包括办公及印刷费、邮电费、差旅费、会议费、福利费、日常维修费、专业材料及一般设备购置费、办公用房水电费、办公用房取暖费、办公用房物业管理费、公务用车运行维护费以及其他费用。</w:t>
      </w:r>
    </w:p>
    <w:p>
      <w:pPr>
        <w:adjustRightInd w:val="0"/>
        <w:snapToGrid w:val="0"/>
        <w:spacing w:line="560" w:lineRule="exact"/>
        <w:rPr>
          <w:rFonts w:ascii="仿宋_GB2312" w:eastAsia="仿宋_GB2312"/>
          <w:sz w:val="32"/>
          <w:szCs w:val="32"/>
        </w:rPr>
      </w:pPr>
    </w:p>
    <w:p>
      <w:pPr>
        <w:tabs>
          <w:tab w:val="left" w:pos="3532"/>
        </w:tabs>
        <w:autoSpaceDE w:val="0"/>
        <w:autoSpaceDN w:val="0"/>
        <w:adjustRightInd w:val="0"/>
        <w:spacing w:line="560" w:lineRule="exact"/>
        <w:jc w:val="both"/>
        <w:rPr>
          <w:rFonts w:ascii="方正小标宋简体" w:hAnsi="宋体" w:eastAsia="方正小标宋简体"/>
          <w:bCs/>
          <w:sz w:val="36"/>
          <w:szCs w:val="36"/>
        </w:rPr>
      </w:pPr>
    </w:p>
    <w:p>
      <w:pPr>
        <w:tabs>
          <w:tab w:val="left" w:pos="3532"/>
        </w:tabs>
        <w:autoSpaceDE w:val="0"/>
        <w:autoSpaceDN w:val="0"/>
        <w:adjustRightInd w:val="0"/>
        <w:spacing w:line="560" w:lineRule="exact"/>
        <w:jc w:val="both"/>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 xml:space="preserve">第五部分 </w:t>
      </w: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包头市委讲师团</w:t>
      </w: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2021年部门预算公开表</w:t>
      </w: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黑体" w:hAnsi="黑体" w:eastAsia="黑体" w:cs="黑体"/>
          <w:bCs/>
          <w:sz w:val="32"/>
          <w:szCs w:val="32"/>
        </w:rPr>
      </w:pP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一、收支预算总表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二、收入预算总表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三、支出预算总表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四、财政拨款预算总表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五、一般公共预算支出表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六、一般公共预算基本支出表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七、一般公共预算“三公”经费支出预算表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八、政府性基金预算支出表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九、国有资本经营预算支出表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十、项目支出表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十一、政府采购预算表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十二、项目支出绩效表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p>
    <w:p>
      <w:pPr>
        <w:tabs>
          <w:tab w:val="left" w:pos="3532"/>
        </w:tabs>
        <w:autoSpaceDE w:val="0"/>
        <w:autoSpaceDN w:val="0"/>
        <w:adjustRightInd w:val="0"/>
        <w:spacing w:line="560" w:lineRule="exact"/>
        <w:rPr>
          <w:rFonts w:ascii="仿宋_GB2312" w:eastAsia="仿宋_GB2312"/>
          <w:sz w:val="32"/>
          <w:szCs w:val="32"/>
        </w:rPr>
      </w:pPr>
      <w:r>
        <w:rPr>
          <w:rFonts w:hint="eastAsia" w:ascii="仿宋_GB2312" w:eastAsia="仿宋_GB2312"/>
          <w:sz w:val="32"/>
          <w:szCs w:val="32"/>
        </w:rPr>
        <w:t>备注：1、预算公开表见附表</w:t>
      </w:r>
    </w:p>
    <w:p>
      <w:pPr>
        <w:tabs>
          <w:tab w:val="left" w:pos="3532"/>
        </w:tabs>
        <w:autoSpaceDE w:val="0"/>
        <w:autoSpaceDN w:val="0"/>
        <w:adjustRightInd w:val="0"/>
        <w:spacing w:line="560" w:lineRule="exact"/>
        <w:rPr>
          <w:rFonts w:ascii="黑体" w:hAnsi="黑体" w:eastAsia="黑体" w:cs="黑体"/>
          <w:bCs/>
          <w:sz w:val="32"/>
          <w:szCs w:val="32"/>
        </w:rPr>
      </w:pPr>
      <w:r>
        <w:rPr>
          <w:rFonts w:hint="eastAsia" w:ascii="仿宋_GB2312" w:eastAsia="仿宋_GB2312"/>
          <w:sz w:val="32"/>
          <w:szCs w:val="32"/>
        </w:rPr>
        <w:t xml:space="preserve">      2、按预算公开编制要求，预算公开报告及公开表的计数单位为万元，而2021年预算编制是以元为计数单位，因此小数点后第二位存在四舍五入的差异</w:t>
      </w:r>
      <w:bookmarkStart w:id="0" w:name="_GoBack"/>
      <w:bookmarkEnd w:id="0"/>
      <w:r>
        <w:rPr>
          <w:rFonts w:hint="eastAsia" w:ascii="仿宋_GB2312" w:eastAsia="仿宋_GB2312"/>
          <w:sz w:val="32"/>
          <w:szCs w:val="32"/>
        </w:rPr>
        <w:t>。</w:t>
      </w:r>
    </w:p>
    <w:sectPr>
      <w:headerReference r:id="rId3" w:type="default"/>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541" w:h="282" w:hRule="exact" w:wrap="around" w:vAnchor="text" w:hAnchor="page" w:x="5761" w:y="7"/>
      <w:rPr>
        <w:rStyle w:val="12"/>
        <w:sz w:val="20"/>
        <w:szCs w:val="20"/>
      </w:rPr>
    </w:pPr>
    <w:r>
      <w:rPr>
        <w:sz w:val="20"/>
        <w:szCs w:val="20"/>
      </w:rPr>
      <w:fldChar w:fldCharType="begin"/>
    </w:r>
    <w:r>
      <w:rPr>
        <w:rStyle w:val="12"/>
        <w:sz w:val="20"/>
        <w:szCs w:val="20"/>
      </w:rPr>
      <w:instrText xml:space="preserve">PAGE  </w:instrText>
    </w:r>
    <w:r>
      <w:rPr>
        <w:sz w:val="20"/>
        <w:szCs w:val="20"/>
      </w:rPr>
      <w:fldChar w:fldCharType="separate"/>
    </w:r>
    <w:r>
      <w:rPr>
        <w:rStyle w:val="12"/>
        <w:sz w:val="20"/>
        <w:szCs w:val="20"/>
      </w:rPr>
      <w:t>- 14 -</w:t>
    </w:r>
    <w:r>
      <w:rPr>
        <w:sz w:val="20"/>
        <w:szCs w:val="20"/>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- 16 -</w: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9EFB72"/>
    <w:multiLevelType w:val="singleLevel"/>
    <w:tmpl w:val="A79EFB72"/>
    <w:lvl w:ilvl="0" w:tentative="0">
      <w:start w:val="1"/>
      <w:numFmt w:val="decimal"/>
      <w:lvlText w:val="(%1)"/>
      <w:lvlJc w:val="left"/>
      <w:pPr>
        <w:tabs>
          <w:tab w:val="left" w:pos="738"/>
        </w:tabs>
      </w:pPr>
    </w:lvl>
  </w:abstractNum>
  <w:abstractNum w:abstractNumId="1">
    <w:nsid w:val="C179DAD9"/>
    <w:multiLevelType w:val="singleLevel"/>
    <w:tmpl w:val="C179DAD9"/>
    <w:lvl w:ilvl="0" w:tentative="0">
      <w:start w:val="1"/>
      <w:numFmt w:val="chineseCounting"/>
      <w:suff w:val="nothing"/>
      <w:lvlText w:val="%1、"/>
      <w:lvlJc w:val="left"/>
      <w:rPr>
        <w:rFonts w:hint="eastAsia"/>
      </w:rPr>
    </w:lvl>
  </w:abstractNum>
  <w:abstractNum w:abstractNumId="2">
    <w:nsid w:val="D52299D4"/>
    <w:multiLevelType w:val="singleLevel"/>
    <w:tmpl w:val="D52299D4"/>
    <w:lvl w:ilvl="0" w:tentative="0">
      <w:start w:val="4"/>
      <w:numFmt w:val="chineseCounting"/>
      <w:suff w:val="nothing"/>
      <w:lvlText w:val="%1、"/>
      <w:lvlJc w:val="left"/>
      <w:rPr>
        <w:rFonts w:hint="eastAsia"/>
      </w:rPr>
    </w:lvl>
  </w:abstractNum>
  <w:abstractNum w:abstractNumId="3">
    <w:nsid w:val="F05A831B"/>
    <w:multiLevelType w:val="singleLevel"/>
    <w:tmpl w:val="F05A831B"/>
    <w:lvl w:ilvl="0" w:tentative="0">
      <w:start w:val="2"/>
      <w:numFmt w:val="decimal"/>
      <w:lvlText w:val="%1."/>
      <w:lvlJc w:val="left"/>
      <w:pPr>
        <w:tabs>
          <w:tab w:val="left" w:pos="312"/>
        </w:tabs>
      </w:pPr>
    </w:lvl>
  </w:abstractNum>
  <w:abstractNum w:abstractNumId="4">
    <w:nsid w:val="07E50B39"/>
    <w:multiLevelType w:val="multilevel"/>
    <w:tmpl w:val="07E50B39"/>
    <w:lvl w:ilvl="0" w:tentative="0">
      <w:start w:val="5"/>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0E7DA328"/>
    <w:multiLevelType w:val="singleLevel"/>
    <w:tmpl w:val="0E7DA328"/>
    <w:lvl w:ilvl="0" w:tentative="0">
      <w:start w:val="4"/>
      <w:numFmt w:val="chineseCounting"/>
      <w:suff w:val="nothing"/>
      <w:lvlText w:val="%1、"/>
      <w:lvlJc w:val="left"/>
      <w:rPr>
        <w:rFonts w:hint="eastAsia"/>
      </w:rPr>
    </w:lvl>
  </w:abstractNum>
  <w:abstractNum w:abstractNumId="6">
    <w:nsid w:val="3DA24129"/>
    <w:multiLevelType w:val="singleLevel"/>
    <w:tmpl w:val="3DA24129"/>
    <w:lvl w:ilvl="0" w:tentative="0">
      <w:start w:val="1"/>
      <w:numFmt w:val="chineseCounting"/>
      <w:suff w:val="nothing"/>
      <w:lvlText w:val="（%1）"/>
      <w:lvlJc w:val="left"/>
      <w:rPr>
        <w:rFonts w:hint="eastAsia"/>
      </w:rPr>
    </w:lvl>
  </w:abstractNum>
  <w:abstractNum w:abstractNumId="7">
    <w:nsid w:val="52C09BEA"/>
    <w:multiLevelType w:val="singleLevel"/>
    <w:tmpl w:val="52C09BEA"/>
    <w:lvl w:ilvl="0" w:tentative="0">
      <w:start w:val="1"/>
      <w:numFmt w:val="chineseCounting"/>
      <w:suff w:val="nothing"/>
      <w:lvlText w:val="（%1）"/>
      <w:lvlJc w:val="left"/>
      <w:rPr>
        <w:rFonts w:hint="eastAsia"/>
      </w:rPr>
    </w:lvl>
  </w:abstractNum>
  <w:num w:numId="1">
    <w:abstractNumId w:val="4"/>
  </w:num>
  <w:num w:numId="2">
    <w:abstractNumId w:val="6"/>
  </w:num>
  <w:num w:numId="3">
    <w:abstractNumId w:val="7"/>
  </w:num>
  <w:num w:numId="4">
    <w:abstractNumId w:val="0"/>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1429"/>
    <w:rsid w:val="00001BE8"/>
    <w:rsid w:val="000205AC"/>
    <w:rsid w:val="000302C8"/>
    <w:rsid w:val="000306FA"/>
    <w:rsid w:val="00032207"/>
    <w:rsid w:val="00033B04"/>
    <w:rsid w:val="0004112E"/>
    <w:rsid w:val="00063DA5"/>
    <w:rsid w:val="000824E5"/>
    <w:rsid w:val="000A08FD"/>
    <w:rsid w:val="000A60DA"/>
    <w:rsid w:val="000C1842"/>
    <w:rsid w:val="000C4987"/>
    <w:rsid w:val="000C6295"/>
    <w:rsid w:val="000D4B22"/>
    <w:rsid w:val="000F1D25"/>
    <w:rsid w:val="000F350B"/>
    <w:rsid w:val="00111059"/>
    <w:rsid w:val="001134AB"/>
    <w:rsid w:val="00113EDC"/>
    <w:rsid w:val="00121C0A"/>
    <w:rsid w:val="0013476B"/>
    <w:rsid w:val="00137CF0"/>
    <w:rsid w:val="00150BAA"/>
    <w:rsid w:val="001541B8"/>
    <w:rsid w:val="00166203"/>
    <w:rsid w:val="00172A27"/>
    <w:rsid w:val="00175A35"/>
    <w:rsid w:val="00185E62"/>
    <w:rsid w:val="00187DCC"/>
    <w:rsid w:val="00190F1A"/>
    <w:rsid w:val="001A2445"/>
    <w:rsid w:val="001A6628"/>
    <w:rsid w:val="001B082B"/>
    <w:rsid w:val="001B3203"/>
    <w:rsid w:val="001B7B30"/>
    <w:rsid w:val="001C3CB5"/>
    <w:rsid w:val="00213A8D"/>
    <w:rsid w:val="00221C73"/>
    <w:rsid w:val="0023085B"/>
    <w:rsid w:val="002374F1"/>
    <w:rsid w:val="00252334"/>
    <w:rsid w:val="0025260B"/>
    <w:rsid w:val="00255085"/>
    <w:rsid w:val="002570B5"/>
    <w:rsid w:val="00267BD1"/>
    <w:rsid w:val="00283B7F"/>
    <w:rsid w:val="002845F1"/>
    <w:rsid w:val="00292478"/>
    <w:rsid w:val="00297272"/>
    <w:rsid w:val="002D2C27"/>
    <w:rsid w:val="002E2DE7"/>
    <w:rsid w:val="002E354E"/>
    <w:rsid w:val="002E637F"/>
    <w:rsid w:val="002F751B"/>
    <w:rsid w:val="00310AE7"/>
    <w:rsid w:val="00315124"/>
    <w:rsid w:val="00323E78"/>
    <w:rsid w:val="0032462B"/>
    <w:rsid w:val="0032491C"/>
    <w:rsid w:val="0033723F"/>
    <w:rsid w:val="00340140"/>
    <w:rsid w:val="00344BD4"/>
    <w:rsid w:val="003579BD"/>
    <w:rsid w:val="00374F94"/>
    <w:rsid w:val="0037663F"/>
    <w:rsid w:val="00393D50"/>
    <w:rsid w:val="003A0449"/>
    <w:rsid w:val="003A42BE"/>
    <w:rsid w:val="003B52C9"/>
    <w:rsid w:val="003D700B"/>
    <w:rsid w:val="003E1B88"/>
    <w:rsid w:val="003E52D5"/>
    <w:rsid w:val="003F07B9"/>
    <w:rsid w:val="003F6D21"/>
    <w:rsid w:val="004125B7"/>
    <w:rsid w:val="004209E8"/>
    <w:rsid w:val="004228AC"/>
    <w:rsid w:val="00422C82"/>
    <w:rsid w:val="00422E5B"/>
    <w:rsid w:val="00423E44"/>
    <w:rsid w:val="00430DDF"/>
    <w:rsid w:val="00437E17"/>
    <w:rsid w:val="0047795A"/>
    <w:rsid w:val="004A139B"/>
    <w:rsid w:val="004A5443"/>
    <w:rsid w:val="004B07BB"/>
    <w:rsid w:val="004B689A"/>
    <w:rsid w:val="004D2827"/>
    <w:rsid w:val="004D43BF"/>
    <w:rsid w:val="004D7F2E"/>
    <w:rsid w:val="004E6531"/>
    <w:rsid w:val="004F2E59"/>
    <w:rsid w:val="0052287D"/>
    <w:rsid w:val="005252D1"/>
    <w:rsid w:val="00535E55"/>
    <w:rsid w:val="005507A7"/>
    <w:rsid w:val="005514EE"/>
    <w:rsid w:val="00564640"/>
    <w:rsid w:val="005650E2"/>
    <w:rsid w:val="00575FC5"/>
    <w:rsid w:val="0057629D"/>
    <w:rsid w:val="005867C9"/>
    <w:rsid w:val="005870CD"/>
    <w:rsid w:val="005B33FB"/>
    <w:rsid w:val="005C48C0"/>
    <w:rsid w:val="005E1D8F"/>
    <w:rsid w:val="005E3787"/>
    <w:rsid w:val="005E6977"/>
    <w:rsid w:val="005F439C"/>
    <w:rsid w:val="00620D76"/>
    <w:rsid w:val="00621DE1"/>
    <w:rsid w:val="00642B75"/>
    <w:rsid w:val="00642BDB"/>
    <w:rsid w:val="00646E51"/>
    <w:rsid w:val="00652190"/>
    <w:rsid w:val="00681679"/>
    <w:rsid w:val="006978D9"/>
    <w:rsid w:val="006B696B"/>
    <w:rsid w:val="006C3A6F"/>
    <w:rsid w:val="006D20C2"/>
    <w:rsid w:val="006D4D7E"/>
    <w:rsid w:val="006D6D0F"/>
    <w:rsid w:val="006E1F9C"/>
    <w:rsid w:val="006F2C21"/>
    <w:rsid w:val="00712154"/>
    <w:rsid w:val="007161E1"/>
    <w:rsid w:val="00720029"/>
    <w:rsid w:val="00721BE5"/>
    <w:rsid w:val="00734407"/>
    <w:rsid w:val="0074324B"/>
    <w:rsid w:val="00750913"/>
    <w:rsid w:val="00794787"/>
    <w:rsid w:val="007A73D6"/>
    <w:rsid w:val="007B5A6A"/>
    <w:rsid w:val="007C4963"/>
    <w:rsid w:val="007E2EB8"/>
    <w:rsid w:val="007E69FE"/>
    <w:rsid w:val="008065A4"/>
    <w:rsid w:val="00816DD7"/>
    <w:rsid w:val="00837430"/>
    <w:rsid w:val="008425E1"/>
    <w:rsid w:val="0085297B"/>
    <w:rsid w:val="0086106A"/>
    <w:rsid w:val="008668BA"/>
    <w:rsid w:val="00866BAC"/>
    <w:rsid w:val="008967FE"/>
    <w:rsid w:val="008A58D4"/>
    <w:rsid w:val="008A65C7"/>
    <w:rsid w:val="008B4E05"/>
    <w:rsid w:val="008C633C"/>
    <w:rsid w:val="008E2F8A"/>
    <w:rsid w:val="00903043"/>
    <w:rsid w:val="00904A92"/>
    <w:rsid w:val="00924A75"/>
    <w:rsid w:val="00933A32"/>
    <w:rsid w:val="00933C5C"/>
    <w:rsid w:val="00942C47"/>
    <w:rsid w:val="00951B93"/>
    <w:rsid w:val="009718CD"/>
    <w:rsid w:val="00971BA6"/>
    <w:rsid w:val="009765E2"/>
    <w:rsid w:val="00983B3B"/>
    <w:rsid w:val="00993FB9"/>
    <w:rsid w:val="009962E2"/>
    <w:rsid w:val="00997EC4"/>
    <w:rsid w:val="009B1116"/>
    <w:rsid w:val="009B6211"/>
    <w:rsid w:val="009D63F7"/>
    <w:rsid w:val="009E5190"/>
    <w:rsid w:val="009E5E33"/>
    <w:rsid w:val="009F0846"/>
    <w:rsid w:val="00A036AC"/>
    <w:rsid w:val="00A04AE4"/>
    <w:rsid w:val="00A10D7B"/>
    <w:rsid w:val="00A11AB5"/>
    <w:rsid w:val="00A3564C"/>
    <w:rsid w:val="00A528BF"/>
    <w:rsid w:val="00A54B24"/>
    <w:rsid w:val="00A5764C"/>
    <w:rsid w:val="00A671E0"/>
    <w:rsid w:val="00A811C7"/>
    <w:rsid w:val="00A97266"/>
    <w:rsid w:val="00AA5DEB"/>
    <w:rsid w:val="00AA66A6"/>
    <w:rsid w:val="00AB4345"/>
    <w:rsid w:val="00AB47D4"/>
    <w:rsid w:val="00AD0615"/>
    <w:rsid w:val="00AE06B2"/>
    <w:rsid w:val="00AE1799"/>
    <w:rsid w:val="00AF1B6E"/>
    <w:rsid w:val="00AF231D"/>
    <w:rsid w:val="00B12D4B"/>
    <w:rsid w:val="00B16448"/>
    <w:rsid w:val="00B24920"/>
    <w:rsid w:val="00B26558"/>
    <w:rsid w:val="00B30E5F"/>
    <w:rsid w:val="00B32B75"/>
    <w:rsid w:val="00B461ED"/>
    <w:rsid w:val="00B50E99"/>
    <w:rsid w:val="00B51C16"/>
    <w:rsid w:val="00B55724"/>
    <w:rsid w:val="00B561B1"/>
    <w:rsid w:val="00B6099F"/>
    <w:rsid w:val="00B820E2"/>
    <w:rsid w:val="00B84B9B"/>
    <w:rsid w:val="00B948E2"/>
    <w:rsid w:val="00B96E10"/>
    <w:rsid w:val="00B97267"/>
    <w:rsid w:val="00B9794B"/>
    <w:rsid w:val="00BA5CE6"/>
    <w:rsid w:val="00BA7649"/>
    <w:rsid w:val="00BC0B70"/>
    <w:rsid w:val="00BD0983"/>
    <w:rsid w:val="00BE09B1"/>
    <w:rsid w:val="00BE478D"/>
    <w:rsid w:val="00BE76B6"/>
    <w:rsid w:val="00BE7EF0"/>
    <w:rsid w:val="00C11F98"/>
    <w:rsid w:val="00C2024D"/>
    <w:rsid w:val="00C22035"/>
    <w:rsid w:val="00C273E8"/>
    <w:rsid w:val="00C451BD"/>
    <w:rsid w:val="00C47A74"/>
    <w:rsid w:val="00C52A3D"/>
    <w:rsid w:val="00C62B5D"/>
    <w:rsid w:val="00C67FB3"/>
    <w:rsid w:val="00C87902"/>
    <w:rsid w:val="00C937B5"/>
    <w:rsid w:val="00CA6883"/>
    <w:rsid w:val="00CB49F0"/>
    <w:rsid w:val="00CB4BE2"/>
    <w:rsid w:val="00CC4397"/>
    <w:rsid w:val="00CD0C1D"/>
    <w:rsid w:val="00CD4F2A"/>
    <w:rsid w:val="00CF6F94"/>
    <w:rsid w:val="00D20AB5"/>
    <w:rsid w:val="00D25ED2"/>
    <w:rsid w:val="00D306AE"/>
    <w:rsid w:val="00D407BD"/>
    <w:rsid w:val="00D43EC4"/>
    <w:rsid w:val="00D60FC1"/>
    <w:rsid w:val="00D6318A"/>
    <w:rsid w:val="00D8288A"/>
    <w:rsid w:val="00D9184F"/>
    <w:rsid w:val="00D972DB"/>
    <w:rsid w:val="00DB3266"/>
    <w:rsid w:val="00DB57F0"/>
    <w:rsid w:val="00DC792D"/>
    <w:rsid w:val="00DE0168"/>
    <w:rsid w:val="00DE1529"/>
    <w:rsid w:val="00DF5F8F"/>
    <w:rsid w:val="00E23EF0"/>
    <w:rsid w:val="00E308DC"/>
    <w:rsid w:val="00E364ED"/>
    <w:rsid w:val="00E36D6E"/>
    <w:rsid w:val="00E42775"/>
    <w:rsid w:val="00E43A5B"/>
    <w:rsid w:val="00E470F4"/>
    <w:rsid w:val="00E65A45"/>
    <w:rsid w:val="00E71CB2"/>
    <w:rsid w:val="00E81D5F"/>
    <w:rsid w:val="00E84BB7"/>
    <w:rsid w:val="00E850A8"/>
    <w:rsid w:val="00E941D3"/>
    <w:rsid w:val="00EA1A6F"/>
    <w:rsid w:val="00EB22D0"/>
    <w:rsid w:val="00EB5DD3"/>
    <w:rsid w:val="00EC2FF2"/>
    <w:rsid w:val="00EC5B79"/>
    <w:rsid w:val="00EE0CFD"/>
    <w:rsid w:val="00EF38D0"/>
    <w:rsid w:val="00F120BB"/>
    <w:rsid w:val="00F31F80"/>
    <w:rsid w:val="00F348CC"/>
    <w:rsid w:val="00F47C04"/>
    <w:rsid w:val="00F53085"/>
    <w:rsid w:val="00F55951"/>
    <w:rsid w:val="00F61926"/>
    <w:rsid w:val="00F65C54"/>
    <w:rsid w:val="00F7452A"/>
    <w:rsid w:val="00F852A0"/>
    <w:rsid w:val="00F919AD"/>
    <w:rsid w:val="00F94DCB"/>
    <w:rsid w:val="00F95DC9"/>
    <w:rsid w:val="00FB5840"/>
    <w:rsid w:val="00FB69DB"/>
    <w:rsid w:val="00FC167C"/>
    <w:rsid w:val="00FC17A5"/>
    <w:rsid w:val="00FE7C4C"/>
    <w:rsid w:val="038B1173"/>
    <w:rsid w:val="052C01DE"/>
    <w:rsid w:val="05D3506E"/>
    <w:rsid w:val="060F362A"/>
    <w:rsid w:val="06AA3528"/>
    <w:rsid w:val="080E1DBF"/>
    <w:rsid w:val="09D05E6B"/>
    <w:rsid w:val="116B4C86"/>
    <w:rsid w:val="125411F1"/>
    <w:rsid w:val="177E1F7D"/>
    <w:rsid w:val="17D61589"/>
    <w:rsid w:val="19131989"/>
    <w:rsid w:val="1B4350B1"/>
    <w:rsid w:val="1DE31CDD"/>
    <w:rsid w:val="23253882"/>
    <w:rsid w:val="237020D0"/>
    <w:rsid w:val="2435179B"/>
    <w:rsid w:val="243A3A51"/>
    <w:rsid w:val="293C79E4"/>
    <w:rsid w:val="2F0D7488"/>
    <w:rsid w:val="35F27CD7"/>
    <w:rsid w:val="3D116CB6"/>
    <w:rsid w:val="41FD4204"/>
    <w:rsid w:val="4554481F"/>
    <w:rsid w:val="45B048FC"/>
    <w:rsid w:val="503945B9"/>
    <w:rsid w:val="540B2201"/>
    <w:rsid w:val="580C44B1"/>
    <w:rsid w:val="58EF4EE6"/>
    <w:rsid w:val="58F157A7"/>
    <w:rsid w:val="62F64888"/>
    <w:rsid w:val="632F0396"/>
    <w:rsid w:val="63575A49"/>
    <w:rsid w:val="63AE2D68"/>
    <w:rsid w:val="68C628EA"/>
    <w:rsid w:val="69D06E0C"/>
    <w:rsid w:val="7A291946"/>
    <w:rsid w:val="7B5647CA"/>
    <w:rsid w:val="7D8F00D3"/>
    <w:rsid w:val="7E825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Body Text Indent"/>
    <w:basedOn w:val="1"/>
    <w:qFormat/>
    <w:uiPriority w:val="0"/>
    <w:pPr>
      <w:ind w:left="420" w:leftChars="200"/>
    </w:pPr>
  </w:style>
  <w:style w:type="paragraph" w:styleId="4">
    <w:name w:val="Plain Text"/>
    <w:basedOn w:val="1"/>
    <w:qFormat/>
    <w:uiPriority w:val="0"/>
    <w:rPr>
      <w:rFonts w:ascii="宋体" w:hAnsi="Courier New" w:cs="Courier New"/>
      <w:szCs w:val="21"/>
    </w:rPr>
  </w:style>
  <w:style w:type="paragraph" w:styleId="5">
    <w:name w:val="Body Text Indent 2"/>
    <w:basedOn w:val="1"/>
    <w:qFormat/>
    <w:uiPriority w:val="0"/>
    <w:pPr>
      <w:spacing w:line="520" w:lineRule="exact"/>
      <w:ind w:firstLine="640"/>
    </w:pPr>
    <w:rPr>
      <w:rFonts w:ascii="仿宋_GB2312" w:eastAsia="仿宋_GB2312"/>
      <w:sz w:val="32"/>
      <w:lang w:bidi="he-IL"/>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line="432" w:lineRule="auto"/>
      <w:ind w:right="150" w:firstLine="480"/>
      <w:jc w:val="left"/>
    </w:pPr>
    <w:rPr>
      <w:rFonts w:ascii="宋体" w:hAnsi="宋体" w:cs="宋体"/>
      <w:kern w:val="0"/>
      <w:sz w:val="24"/>
    </w:rPr>
  </w:style>
  <w:style w:type="character" w:styleId="12">
    <w:name w:val="page number"/>
    <w:basedOn w:val="11"/>
    <w:qFormat/>
    <w:uiPriority w:val="0"/>
  </w:style>
  <w:style w:type="character" w:styleId="13">
    <w:name w:val="Hyperlink"/>
    <w:qFormat/>
    <w:uiPriority w:val="0"/>
    <w:rPr>
      <w:color w:val="0000FF"/>
      <w:u w:val="single"/>
    </w:rPr>
  </w:style>
  <w:style w:type="paragraph" w:customStyle="1" w:styleId="14">
    <w:name w:val="Char Char"/>
    <w:basedOn w:val="1"/>
    <w:qFormat/>
    <w:uiPriority w:val="0"/>
    <w:pPr>
      <w:widowControl/>
      <w:spacing w:line="240" w:lineRule="exact"/>
      <w:jc w:val="left"/>
    </w:pPr>
    <w:rPr>
      <w:rFonts w:ascii="Verdana" w:hAnsi="Verdana" w:eastAsia="仿宋_GB2312"/>
      <w:kern w:val="0"/>
      <w:sz w:val="24"/>
      <w:szCs w:val="20"/>
      <w:lang w:eastAsia="en-US"/>
    </w:rPr>
  </w:style>
  <w:style w:type="character" w:customStyle="1" w:styleId="15">
    <w:name w:val="font61"/>
    <w:qFormat/>
    <w:uiPriority w:val="0"/>
    <w:rPr>
      <w:rFonts w:hint="eastAsia" w:ascii="宋体" w:hAnsi="宋体" w:eastAsia="宋体" w:cs="宋体"/>
      <w:b/>
      <w:color w:val="000000"/>
      <w:sz w:val="16"/>
      <w:szCs w:val="16"/>
      <w:u w:val="none"/>
    </w:rPr>
  </w:style>
  <w:style w:type="character" w:customStyle="1" w:styleId="16">
    <w:name w:val="font11"/>
    <w:qFormat/>
    <w:uiPriority w:val="0"/>
    <w:rPr>
      <w:rFonts w:hint="eastAsia" w:ascii="宋体" w:hAnsi="宋体" w:eastAsia="宋体" w:cs="宋体"/>
      <w:color w:val="000000"/>
      <w:sz w:val="16"/>
      <w:szCs w:val="16"/>
      <w:u w:val="none"/>
    </w:rPr>
  </w:style>
  <w:style w:type="paragraph" w:customStyle="1" w:styleId="17">
    <w:name w:val="style0"/>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常规"/>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19">
    <w:name w:val="Char Char1"/>
    <w:basedOn w:val="1"/>
    <w:qFormat/>
    <w:uiPriority w:val="0"/>
    <w:pPr>
      <w:widowControl/>
      <w:spacing w:line="360" w:lineRule="auto"/>
    </w:pPr>
    <w:rPr>
      <w:rFonts w:ascii="Verdana" w:hAnsi="Verdana" w:eastAsia="仿宋_GB2312"/>
      <w:kern w:val="0"/>
      <w:sz w:val="24"/>
      <w:szCs w:val="20"/>
      <w:lang w:eastAsia="en-US"/>
    </w:rPr>
  </w:style>
  <w:style w:type="paragraph" w:customStyle="1" w:styleId="20">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
    <w:name w:val="xl38"/>
    <w:basedOn w:val="17"/>
    <w:qFormat/>
    <w:uiPriority w:val="0"/>
    <w:pPr>
      <w:textAlignment w:val="bottom"/>
    </w:pPr>
    <w:rPr>
      <w:color w:val="000000"/>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5466</Words>
  <Characters>707</Characters>
  <Lines>5</Lines>
  <Paragraphs>12</Paragraphs>
  <TotalTime>14</TotalTime>
  <ScaleCrop>false</ScaleCrop>
  <LinksUpToDate>false</LinksUpToDate>
  <CharactersWithSpaces>6161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2021-02-08T02:50:00Z</dcterms:created>
  <dc:creator>ylj</dc:creator>
  <cp:lastModifiedBy>失特</cp:lastModifiedBy>
  <cp:lastPrinted>2021-03-29T08:10:00Z</cp:lastPrinted>
  <dcterms:modified xsi:type="dcterms:W3CDTF">2021-04-16T09:10:42Z</dcterms:modified>
  <dc:title>自治区人口和计划生育</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5830579BF6D14ACBB9B57254ED17A450</vt:lpwstr>
  </property>
</Properties>
</file>